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33" w:rsidRPr="00D217E2" w:rsidRDefault="00406233" w:rsidP="00406233">
      <w:pPr>
        <w:tabs>
          <w:tab w:val="left" w:pos="270"/>
        </w:tabs>
        <w:jc w:val="center"/>
        <w:rPr>
          <w:rFonts w:ascii="Sylfaen" w:hAnsi="Sylfaen"/>
          <w:sz w:val="24"/>
          <w:szCs w:val="24"/>
          <w:lang w:val="ka-GE" w:eastAsia="lt-LT"/>
        </w:rPr>
      </w:pPr>
      <w:r w:rsidRPr="00D217E2">
        <w:rPr>
          <w:rFonts w:ascii="Sylfaen" w:hAnsi="Sylfaen"/>
          <w:sz w:val="24"/>
          <w:szCs w:val="24"/>
          <w:lang w:val="ka-GE" w:eastAsia="lt-LT"/>
        </w:rPr>
        <w:t>ივანე ჯავახიშვილის სახელობის თბილისის სახელმწიფო უნივერსიტეტის ჟურნალ</w:t>
      </w:r>
      <w:r w:rsidR="00A13AF0">
        <w:rPr>
          <w:rFonts w:ascii="Sylfaen" w:hAnsi="Sylfaen"/>
          <w:sz w:val="24"/>
          <w:szCs w:val="24"/>
          <w:lang w:val="ka-GE" w:eastAsia="lt-LT"/>
        </w:rPr>
        <w:t xml:space="preserve"> ,,დავის ალტერნატიული გადაწყვეტა - წელიწდეულში“</w:t>
      </w:r>
      <w:r w:rsidRPr="00D217E2">
        <w:rPr>
          <w:rFonts w:ascii="Sylfaen" w:hAnsi="Sylfaen"/>
          <w:sz w:val="24"/>
          <w:szCs w:val="24"/>
          <w:lang w:val="ka-GE" w:eastAsia="lt-LT"/>
        </w:rPr>
        <w:t xml:space="preserve"> გამოსაქვეყნებელი ნაშრომის </w:t>
      </w:r>
    </w:p>
    <w:p w:rsidR="00406233" w:rsidRPr="00D217E2" w:rsidRDefault="00406233" w:rsidP="00406233">
      <w:pPr>
        <w:tabs>
          <w:tab w:val="left" w:pos="270"/>
        </w:tabs>
        <w:jc w:val="center"/>
        <w:rPr>
          <w:rFonts w:ascii="Sylfaen" w:hAnsi="Sylfaen"/>
          <w:sz w:val="24"/>
          <w:szCs w:val="24"/>
          <w:lang w:val="ka-GE" w:eastAsia="lt-LT"/>
        </w:rPr>
      </w:pPr>
    </w:p>
    <w:p w:rsidR="00406233" w:rsidRPr="00D217E2" w:rsidRDefault="00406233" w:rsidP="00406233">
      <w:pPr>
        <w:tabs>
          <w:tab w:val="left" w:pos="270"/>
        </w:tabs>
        <w:jc w:val="center"/>
        <w:rPr>
          <w:rFonts w:ascii="Sylfaen" w:hAnsi="Sylfaen"/>
          <w:b/>
          <w:sz w:val="22"/>
          <w:szCs w:val="22"/>
          <w:lang w:val="ka-GE" w:eastAsia="lt-LT"/>
        </w:rPr>
      </w:pPr>
      <w:r w:rsidRPr="00D217E2">
        <w:rPr>
          <w:rFonts w:ascii="Sylfaen" w:hAnsi="Sylfaen"/>
          <w:b/>
          <w:sz w:val="22"/>
          <w:szCs w:val="22"/>
          <w:lang w:val="ka-GE" w:eastAsia="lt-LT"/>
        </w:rPr>
        <w:t>ციტირების აკადემიური სტანდარტი</w:t>
      </w:r>
    </w:p>
    <w:p w:rsidR="00406233" w:rsidRPr="00D217E2" w:rsidRDefault="00406233" w:rsidP="00406233">
      <w:pPr>
        <w:tabs>
          <w:tab w:val="left" w:pos="270"/>
        </w:tabs>
        <w:jc w:val="center"/>
        <w:rPr>
          <w:rFonts w:ascii="Sylfaen" w:hAnsi="Sylfaen"/>
          <w:b/>
          <w:sz w:val="22"/>
          <w:szCs w:val="22"/>
          <w:lang w:val="ka-GE" w:eastAsia="lt-LT"/>
        </w:rPr>
      </w:pPr>
    </w:p>
    <w:p w:rsidR="00406233" w:rsidRPr="00D217E2" w:rsidRDefault="00406233" w:rsidP="00406233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217E2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 xml:space="preserve">დანართი </w:t>
      </w:r>
      <w:r w:rsidRPr="00D217E2">
        <w:rPr>
          <w:rFonts w:ascii="Sylfaen" w:hAnsi="Sylfaen" w:cs="Arial"/>
          <w:color w:val="000000" w:themeColor="text1"/>
          <w:sz w:val="22"/>
          <w:szCs w:val="22"/>
          <w:shd w:val="clear" w:color="auto" w:fill="FFFFFF"/>
          <w:lang w:val="ka-GE"/>
        </w:rPr>
        <w:t>№</w:t>
      </w:r>
      <w:r w:rsidRPr="00D217E2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>3</w:t>
      </w:r>
    </w:p>
    <w:p w:rsidR="00600F39" w:rsidRPr="00D217E2" w:rsidRDefault="00600F39" w:rsidP="00406233">
      <w:pPr>
        <w:rPr>
          <w:rFonts w:ascii="Sylfaen" w:hAnsi="Sylfaen"/>
          <w:lang w:val="ka-GE"/>
        </w:rPr>
      </w:pPr>
    </w:p>
    <w:p w:rsidR="00A638E0" w:rsidRPr="00D217E2" w:rsidRDefault="00A638E0" w:rsidP="00406233">
      <w:pPr>
        <w:ind w:hanging="3330"/>
        <w:jc w:val="center"/>
        <w:rPr>
          <w:rFonts w:ascii="Sylfaen" w:hAnsi="Sylfaen"/>
          <w:lang w:val="ka-GE"/>
        </w:rPr>
      </w:pPr>
    </w:p>
    <w:p w:rsidR="00A638E0" w:rsidRPr="00D217E2" w:rsidRDefault="00366289" w:rsidP="00D217E2">
      <w:pPr>
        <w:pStyle w:val="ListParagraph"/>
        <w:numPr>
          <w:ilvl w:val="0"/>
          <w:numId w:val="14"/>
        </w:numPr>
        <w:ind w:left="851" w:hanging="284"/>
        <w:jc w:val="both"/>
        <w:rPr>
          <w:rFonts w:ascii="Sylfaen" w:eastAsia="AcadNusx" w:hAnsi="Sylfaen" w:cs="AcadNusx"/>
          <w:b/>
          <w:bCs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 xml:space="preserve">ნაშრომის </w:t>
      </w:r>
      <w:r w:rsidR="008C05B8"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>გაფორმების</w:t>
      </w:r>
      <w:r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 xml:space="preserve"> </w:t>
      </w:r>
      <w:r w:rsidR="00C36D95"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 xml:space="preserve">ზოგადი </w:t>
      </w:r>
      <w:r w:rsidR="008C05B8"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>წესი</w:t>
      </w:r>
    </w:p>
    <w:p w:rsidR="00A638E0" w:rsidRPr="00D217E2" w:rsidRDefault="00A638E0" w:rsidP="00406233">
      <w:pPr>
        <w:rPr>
          <w:rFonts w:ascii="Sylfaen" w:hAnsi="Sylfaen"/>
          <w:sz w:val="22"/>
          <w:szCs w:val="22"/>
          <w:lang w:val="ka-GE"/>
        </w:rPr>
      </w:pPr>
    </w:p>
    <w:p w:rsidR="00A638E0" w:rsidRPr="00D217E2" w:rsidRDefault="008C05B8" w:rsidP="00406233">
      <w:pPr>
        <w:ind w:right="68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pacing w:val="1"/>
          <w:sz w:val="22"/>
          <w:szCs w:val="22"/>
          <w:lang w:val="ka-GE"/>
        </w:rPr>
        <w:t>ნაშრომის სტრუქტურულად ჩამოყალიბება უნდა მოხდეს არა მარტო შესაბამისი თავებისათვის ნუმერაციის მინიჭებით, არამედ განსახილველი საკითხების დასათაურებით. სტატიის თავებად, ქვეთავებად და ქვექვეთავებად დაყოფისას გამოყენებულ უნდა იქნეს არაბული რიცხვები (მაგ.: 1.; 1.1.; 1.1.1. და ა.შ.), ცალკე უნდა გამოიყოს შესავალი და დასკვნა.</w:t>
      </w:r>
    </w:p>
    <w:p w:rsidR="00A638E0" w:rsidRPr="00D217E2" w:rsidRDefault="008C05B8" w:rsidP="00406233">
      <w:pPr>
        <w:spacing w:before="13"/>
        <w:ind w:right="119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ტექსტი, ძირითადად, უნდა გადმოიცეს III პირში, ავტორი საკუთარი პოზიციის გამოსახატავად მაქსიმალურად უნდა მოერიდოს პირველ პირში თხრობას.</w:t>
      </w:r>
    </w:p>
    <w:p w:rsidR="004A2679" w:rsidRPr="00D217E2" w:rsidRDefault="008C05B8" w:rsidP="00406233">
      <w:pPr>
        <w:spacing w:before="10"/>
        <w:ind w:right="129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ავტორმა  სქოლიოში  უნდა  მიუთითოს  თავის  მიერ  მოყვანილი  ციტატებისა  და ფაქტობრივი გარემოებების წყარო. ნაშრომში მითითებულ სამეცნიერო წყაროთა საერთო რაოდენობის არანაკლებ 4/5 უნდა შეადგენდეს  დასავლეთ ევროპულ ენებზე გამოქვეყნებულ ლიტერატურას, გარდა თემის სპეციფიკიდან გამომდინარე გამონაკლისი შემთხვევებისა.</w:t>
      </w:r>
    </w:p>
    <w:p w:rsidR="00A638E0" w:rsidRPr="00D217E2" w:rsidRDefault="00A5087B" w:rsidP="00406233">
      <w:pPr>
        <w:spacing w:before="10"/>
        <w:ind w:right="129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სტატიის </w:t>
      </w:r>
      <w:r w:rsidR="008C05B8" w:rsidRPr="00D217E2">
        <w:rPr>
          <w:rFonts w:ascii="Sylfaen" w:eastAsia="AcadNusx" w:hAnsi="Sylfaen" w:cs="AcadNusx"/>
          <w:sz w:val="22"/>
          <w:szCs w:val="22"/>
          <w:lang w:val="ka-GE"/>
        </w:rPr>
        <w:t>წყაროები განთავსებულია სქოლიოებში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. სტატიას</w:t>
      </w:r>
      <w:r w:rsidR="00F46EB3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, დასკვნის შემდეგ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დაერთვის გამოყენებული ლიტერატურის სია</w:t>
      </w:r>
      <w:r w:rsidR="00F46EB3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- ბიბლიოგრაფია.</w:t>
      </w:r>
    </w:p>
    <w:p w:rsidR="00A638E0" w:rsidRPr="00D217E2" w:rsidRDefault="008C05B8" w:rsidP="00406233">
      <w:pPr>
        <w:spacing w:before="24"/>
        <w:ind w:right="66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სიტყვის, სახელწოდების, სათაურის შემოკლება ტექსტსა და სქოლიოში არ დაიშვება, გარდა საყოველთაოდ  მიღებული  შემოკლებებისა  (მაგ.:  პარაგრაფი </w:t>
      </w:r>
      <w:r w:rsidR="00600F39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 </w:t>
      </w:r>
      <w:r w:rsidR="00600F39" w:rsidRPr="00D217E2">
        <w:rPr>
          <w:rFonts w:ascii="Sylfaen" w:eastAsia="AcadNusx" w:hAnsi="Sylfaen" w:cs="AcadNusx"/>
          <w:sz w:val="22"/>
          <w:szCs w:val="22"/>
          <w:lang w:val="ka-GE"/>
        </w:rPr>
        <w:t>§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,  წელი </w:t>
      </w:r>
      <w:r w:rsidR="00600F39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წ., მაგალითად </w:t>
      </w:r>
      <w:r w:rsidR="00600F39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მაგ., იხილე </w:t>
      </w:r>
      <w:r w:rsidR="00600F39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იხ., შეადარე </w:t>
      </w:r>
      <w:r w:rsidR="00600F39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-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შეად. და ა.შ.).</w:t>
      </w:r>
    </w:p>
    <w:p w:rsidR="00F678E5" w:rsidRPr="00D217E2" w:rsidRDefault="00600F39" w:rsidP="00406233">
      <w:pPr>
        <w:spacing w:before="9"/>
        <w:ind w:right="65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თუ სტატიაში არის აბრევიატურა, მისი გამოყენების პირველ შემთხვევაში ის უნდა იყოს გაშიფრული, რის შემდეგაც ფრჩხილებში მიეთითება აბრევიატურა, რომელიც შემდგომ იქნება გამოყენებული (მაგ., გერმანიის სამოქალაქო კოდექსი (შემდგომში - გსკ); ამავე პრინციპით, ხშირად  გამოყენებულ კონვენციათა,  კანონთა  თუ  სხვათა სახელწოდებები შემოკლდება საკვანძო სიტყვის მიხედვით, ანუ მისი გამოყენების პირველ შემთხვევაში ის მოხსენიებული უნდა იყოს სრულად და ფრჩხილებში მიეთითოს საკვანძო სიტყვა (მაგ.: ადამიანის უფლებათა ევროპული კონვენცია (შემდგომში - კონვენცია)).</w:t>
      </w:r>
    </w:p>
    <w:p w:rsidR="00600F39" w:rsidRPr="00D217E2" w:rsidRDefault="00600F39" w:rsidP="00406233">
      <w:pPr>
        <w:spacing w:before="9"/>
        <w:ind w:right="65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სქოლიოში მითითებული უცხოენოვანი წყაროს ყოველი სიტყვა იწერება დიდი ასო-ბგერით, გარდა კავშირებისა, თანდებულებისა და არტიკლებისა</w:t>
      </w:r>
      <w:r w:rsidR="00F678E5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(მაგ.</w:t>
      </w:r>
      <w:r w:rsidR="006959F0" w:rsidRPr="00D217E2">
        <w:rPr>
          <w:rFonts w:ascii="Sylfaen" w:eastAsia="AcadNusx" w:hAnsi="Sylfaen" w:cs="AcadNusx"/>
          <w:sz w:val="22"/>
          <w:szCs w:val="22"/>
          <w:lang w:val="ka-GE"/>
        </w:rPr>
        <w:t>,</w:t>
      </w:r>
      <w:r w:rsidR="00F678E5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="00F678E5" w:rsidRPr="00D217E2">
        <w:rPr>
          <w:rFonts w:ascii="Sylfaen" w:eastAsia="AcadNusx" w:hAnsi="Sylfaen" w:cs="AcadNusx"/>
          <w:i/>
          <w:sz w:val="22"/>
          <w:szCs w:val="22"/>
          <w:lang w:val="ka-GE"/>
        </w:rPr>
        <w:t>Kuester E.L</w:t>
      </w:r>
      <w:r w:rsidR="00F678E5" w:rsidRPr="00D217E2">
        <w:rPr>
          <w:rFonts w:ascii="Sylfaen" w:eastAsia="AcadNusx" w:hAnsi="Sylfaen" w:cs="AcadNusx"/>
          <w:sz w:val="22"/>
          <w:szCs w:val="22"/>
          <w:lang w:val="ka-GE"/>
        </w:rPr>
        <w:t>, Confidentiality in Mediation, A Trial of Broken Priomises, Hamline Journal of Public Law and Policy, Vol.16, №2, 1994-1995, 579).</w:t>
      </w:r>
    </w:p>
    <w:p w:rsidR="00600F39" w:rsidRPr="00D217E2" w:rsidRDefault="00600F39" w:rsidP="00406233">
      <w:pPr>
        <w:spacing w:before="9"/>
        <w:ind w:right="65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სქოლიოში აუცილებელია ერთიანი სისტემის დაცვა: ავტორი და ნაშრომის სათაური გამოიკვეთოს სიტყვათა სხვადასხვა 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დახრილობით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(მაგ., ავტორი - დახრით 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(იტალიკით)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, დანარჩენი ინფორმაცია - გამართულად, ასევე დახრით მიეთითება როგორც ყველა გამოყენებული გვარი, მაგ., რედაქტორის, ასევე თავად სიტყვა „რედაქტორის“ შემოკლება 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(რედ.).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ამავე დროს, ყველა ერთეული (გარდა გვარისა და სახელის ინიციალისა)</w:t>
      </w:r>
      <w:r w:rsidR="0011501F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ერთმანეთისგან გამოიყოფა მძიმით და სქოლიოს ბოლოს დაისმის წერტილი.</w:t>
      </w:r>
    </w:p>
    <w:p w:rsidR="00600F39" w:rsidRPr="00D217E2" w:rsidRDefault="00600F39" w:rsidP="00406233">
      <w:pPr>
        <w:spacing w:before="8"/>
        <w:ind w:right="72" w:firstLine="567"/>
        <w:jc w:val="both"/>
        <w:rPr>
          <w:rFonts w:ascii="Sylfaen" w:eastAsia="AcadNusx" w:hAnsi="Sylfaen" w:cs="AcadNusx"/>
          <w:spacing w:val="1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pacing w:val="1"/>
          <w:sz w:val="22"/>
          <w:szCs w:val="22"/>
          <w:lang w:val="ka-GE"/>
        </w:rPr>
        <w:t xml:space="preserve">სათანადოა მითითება, თუ ციტატა ჩასმულია ბრჭყალებში და სქოლიო გაფორმებულია ზემოთ აღნიშნული წესების მიხედვით. </w:t>
      </w:r>
      <w:r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>პერიფრაზის ან ცალკეული აზრის ფორმირების წყაროს მითითებისას გამოიყენება შესაბამისი სიტყვა</w:t>
      </w:r>
      <w:r w:rsidRPr="00D217E2">
        <w:rPr>
          <w:rFonts w:ascii="Sylfaen" w:eastAsia="AcadNusx" w:hAnsi="Sylfaen" w:cs="AcadNusx"/>
          <w:spacing w:val="1"/>
          <w:sz w:val="22"/>
          <w:szCs w:val="22"/>
          <w:lang w:val="ka-GE"/>
        </w:rPr>
        <w:t xml:space="preserve">: ,,იხილეთ ციტირება“ </w:t>
      </w:r>
      <w:r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 xml:space="preserve">(იხ. ციტირება) ან </w:t>
      </w:r>
      <w:r w:rsidR="00B03335"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>„</w:t>
      </w:r>
      <w:r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>შეადარე</w:t>
      </w:r>
      <w:r w:rsidR="00B03335"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>“</w:t>
      </w:r>
      <w:r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 xml:space="preserve"> (შეად.). </w:t>
      </w:r>
      <w:r w:rsidR="00B03335"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>„</w:t>
      </w:r>
      <w:r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>შეადარე</w:t>
      </w:r>
      <w:r w:rsidR="00B03335"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>“</w:t>
      </w:r>
      <w:r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 xml:space="preserve"> მაშინ გამოიყენება, როდესაც ავტორს სჭირდება განსხვავებულ აზრზე მითითება.</w:t>
      </w:r>
    </w:p>
    <w:p w:rsidR="00600F39" w:rsidRPr="00D217E2" w:rsidRDefault="00600F39" w:rsidP="00406233">
      <w:pPr>
        <w:spacing w:before="11"/>
        <w:ind w:right="72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lastRenderedPageBreak/>
        <w:t>ძირითად ტექსტში დასაშვებია მხოლოდ ნაშრომის სათაურთან უშუალო კავშირში მყოფი ან დასახული მიზნის მისაღწევად აუცილებელი ინფორმაციისა თუ ანალიზის მითითება. დამატებითი ინფორმაცია შესაძლებელია მიეთითოს სქოლიოში.</w:t>
      </w:r>
    </w:p>
    <w:p w:rsidR="00600F39" w:rsidRPr="00D217E2" w:rsidRDefault="00600F39" w:rsidP="00406233">
      <w:pPr>
        <w:spacing w:before="8"/>
        <w:ind w:right="221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უცხოური ტერმინები და გამოთქმები   უნდა გადმოიცეს სქოლიოში, თუ ნაშრომის უშუალო მიზანი არ არის ტერმინის წარმოშობის დადგენა.</w:t>
      </w:r>
    </w:p>
    <w:p w:rsidR="00600F39" w:rsidRPr="00D217E2" w:rsidRDefault="00600F39" w:rsidP="00406233">
      <w:pPr>
        <w:spacing w:before="12"/>
        <w:ind w:right="70" w:firstLine="567"/>
        <w:jc w:val="both"/>
        <w:rPr>
          <w:rFonts w:ascii="Sylfaen" w:eastAsia="AcadNusx" w:hAnsi="Sylfaen" w:cs="AcadNusx"/>
          <w:sz w:val="22"/>
          <w:szCs w:val="22"/>
          <w:u w:val="single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ქართული ტექსტისთვის უნდა გამოვიყენოთ </w:t>
      </w:r>
      <w:r w:rsidR="00B03335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„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ქვედა</w:t>
      </w:r>
      <w:r w:rsidR="00B03335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“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 და </w:t>
      </w:r>
      <w:r w:rsidR="00B03335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„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ზედა</w:t>
      </w:r>
      <w:r w:rsidR="00B03335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“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 (</w:t>
      </w:r>
      <w:r w:rsidR="00B03335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„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...</w:t>
      </w:r>
      <w:r w:rsidR="00B03335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“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) ბრჭყალები, უცხოენოვანი ტექსტისთვის _ </w:t>
      </w:r>
      <w:r w:rsidR="00881E8E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“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ზედა</w:t>
      </w:r>
      <w:r w:rsidR="00BF6086" w:rsidRPr="00B009EC">
        <w:rPr>
          <w:rFonts w:ascii="Sylfaen" w:eastAsia="AcadNusx" w:hAnsi="Sylfaen" w:cs="AcadNusx"/>
          <w:sz w:val="22"/>
          <w:szCs w:val="22"/>
          <w:u w:val="single"/>
          <w:lang w:val="ka-GE"/>
        </w:rPr>
        <w:t>”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 (</w:t>
      </w:r>
      <w:r w:rsidR="00B03335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“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...</w:t>
      </w:r>
      <w:r w:rsidR="00BF6086" w:rsidRPr="00B009EC">
        <w:rPr>
          <w:rFonts w:ascii="Sylfaen" w:eastAsia="AcadNusx" w:hAnsi="Sylfaen" w:cs="AcadNusx"/>
          <w:sz w:val="22"/>
          <w:szCs w:val="22"/>
          <w:u w:val="single"/>
          <w:lang w:val="ka-GE"/>
        </w:rPr>
        <w:t>”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)</w:t>
      </w:r>
      <w:r w:rsidR="00881E8E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 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ბრჭყალები;</w:t>
      </w:r>
      <w:r w:rsidR="00881E8E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 </w:t>
      </w:r>
    </w:p>
    <w:p w:rsidR="00600F39" w:rsidRPr="00D217E2" w:rsidRDefault="00600F39" w:rsidP="00406233">
      <w:pPr>
        <w:spacing w:before="46"/>
        <w:ind w:right="357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ციტირებული ტექსტის ბოლოს სასვენი ნიშნები </w:t>
      </w:r>
      <w:r w:rsidR="00B03335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წერტილი, ორწერტილი, წერტილ- მძიმე, კითხვისა და ძახილის ნიშნები </w:t>
      </w:r>
      <w:r w:rsidR="00B03335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დაისმის ბრჭყალის წინ, როცა ისინი ასრულებენ წინადადებას, და ბრჭყალის შემდეგ, კონტექსტის მიხედვით, თუ ეს ბრჭყალი ეკუთვნის ცალკეულ სიტყვას ან ფრაზას;</w:t>
      </w:r>
    </w:p>
    <w:p w:rsidR="00600F39" w:rsidRPr="00D217E2" w:rsidRDefault="00600F39" w:rsidP="00406233">
      <w:pPr>
        <w:spacing w:before="46"/>
        <w:ind w:right="357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როდესაც სიტყვასთან ერთდროულად თავს იყრის  ბრჭყალი, სასვენი ნიშანი და სქოლიოს ნიშანი, უნდა დავიცვათ შემდეგი თანმიმდევრობა: 1. ბრჭყალი, 2. სასვენი ნიშანი, 3. სქოლიოს ნიშანი;   ციტირებული  ტექსტის  (წინადადების)  ბოლოს  კი:  1.  სასვენი ნიშანი, 2. ბრჭყალი, 3. სქოლიოს ნიშანი. ერთად არ იწერება ორი ბრჭყალი. ფრჩხილების შემთხვევაში კი შეიძლება მათი განსხვავებული ფორმების გამოყენება;</w:t>
      </w:r>
    </w:p>
    <w:p w:rsidR="00600F39" w:rsidRPr="00D217E2" w:rsidRDefault="00600F39" w:rsidP="00406233">
      <w:pPr>
        <w:spacing w:before="46"/>
        <w:ind w:right="357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ტექსტში უნდა გაირჩეს ტირესა და დეფისის გამოყენება. დეფისი არის მოკლე ხაზი</w:t>
      </w:r>
      <w:r w:rsidR="00366289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(-), რომლის წინ და შემდეგ არ არის ინტერვალი, ტირე კი უფრო გრძელი ხაზია</w:t>
      </w:r>
      <w:r w:rsidR="006E6DE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( – ) და მის წინ და შემდეგ აუცილებელია ინტერვალის დაცვა;</w:t>
      </w:r>
    </w:p>
    <w:p w:rsidR="00600F39" w:rsidRPr="00D217E2" w:rsidRDefault="00600F39" w:rsidP="00406233">
      <w:pPr>
        <w:spacing w:before="46"/>
        <w:ind w:right="357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სქოლიოში იმავე წყაროზე მითითებისას, რომელიც უკვე გამოყენებული იყო, საჭიროა გამოიყოს შემდეგი შემთხვევები:</w:t>
      </w:r>
    </w:p>
    <w:p w:rsidR="00600F39" w:rsidRPr="00D217E2" w:rsidRDefault="00600F39" w:rsidP="00366289">
      <w:pPr>
        <w:spacing w:before="46"/>
        <w:ind w:left="851" w:right="357" w:hanging="284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ა) ზუსტად წინა  სქოლიოში მითითებული წყაროს ნაცვლად მიეთითება </w:t>
      </w:r>
      <w:r w:rsidR="00B03335" w:rsidRPr="00D217E2">
        <w:rPr>
          <w:rFonts w:ascii="Sylfaen" w:eastAsia="AcadNusx" w:hAnsi="Sylfaen" w:cs="AcadNusx"/>
          <w:sz w:val="22"/>
          <w:szCs w:val="22"/>
          <w:lang w:val="ka-GE"/>
        </w:rPr>
        <w:t>„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იქვე</w:t>
      </w:r>
      <w:r w:rsidR="00B03335" w:rsidRPr="00D217E2">
        <w:rPr>
          <w:rFonts w:ascii="Sylfaen" w:eastAsia="AcadNusx" w:hAnsi="Sylfaen" w:cs="AcadNusx"/>
          <w:sz w:val="22"/>
          <w:szCs w:val="22"/>
          <w:lang w:val="ka-GE"/>
        </w:rPr>
        <w:t>“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. </w:t>
      </w:r>
      <w:r w:rsidR="00B03335" w:rsidRPr="00D217E2">
        <w:rPr>
          <w:rFonts w:ascii="Sylfaen" w:eastAsia="AcadNusx" w:hAnsi="Sylfaen" w:cs="AcadNusx"/>
          <w:sz w:val="22"/>
          <w:szCs w:val="22"/>
          <w:lang w:val="ka-GE"/>
        </w:rPr>
        <w:t>„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იქვეს</w:t>
      </w:r>
      <w:r w:rsidR="00B03335" w:rsidRPr="00D217E2">
        <w:rPr>
          <w:rFonts w:ascii="Sylfaen" w:eastAsia="AcadNusx" w:hAnsi="Sylfaen" w:cs="AcadNusx"/>
          <w:sz w:val="22"/>
          <w:szCs w:val="22"/>
          <w:lang w:val="ka-GE"/>
        </w:rPr>
        <w:t>“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შემდეგ კი (თუ საჭიროა) მიეთითება განსხვავებული მონაცემები (ტომი, წელი, გვერდი);</w:t>
      </w:r>
    </w:p>
    <w:p w:rsidR="00C04AE7" w:rsidRPr="00D217E2" w:rsidRDefault="00600F39" w:rsidP="00366289">
      <w:pPr>
        <w:tabs>
          <w:tab w:val="left" w:pos="0"/>
        </w:tabs>
        <w:spacing w:before="46"/>
        <w:ind w:left="851" w:right="357" w:hanging="284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ბ</w:t>
      </w:r>
      <w:r w:rsidR="00366289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)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მანამდე    მითითებული,     მაგრამ     არა  წინამდებარე,     წყაროს გამოყენებისას უნდა მიეთითოს ამ წყაროს სრული დასახელება შესაბამისი გვერდით.</w:t>
      </w:r>
    </w:p>
    <w:p w:rsidR="00600F39" w:rsidRPr="00D217E2" w:rsidRDefault="00600F39" w:rsidP="00406233">
      <w:pPr>
        <w:tabs>
          <w:tab w:val="left" w:pos="0"/>
        </w:tabs>
        <w:spacing w:before="46"/>
        <w:ind w:right="357" w:firstLine="70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B6503A" w:rsidRPr="00D217E2" w:rsidRDefault="00715C09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before="46"/>
        <w:ind w:left="567" w:right="357"/>
        <w:jc w:val="both"/>
        <w:rPr>
          <w:rFonts w:ascii="Sylfaen" w:eastAsia="AcadNusx" w:hAnsi="Sylfaen" w:cs="AcadNusx"/>
          <w:sz w:val="22"/>
          <w:szCs w:val="22"/>
          <w:u w:val="single"/>
          <w:lang w:val="ka-GE"/>
        </w:rPr>
      </w:pPr>
      <w:r w:rsidRPr="00D217E2">
        <w:rPr>
          <w:rFonts w:ascii="Sylfaen" w:eastAsia="AcadNusx" w:hAnsi="Sylfaen" w:cs="AcadNusx"/>
          <w:b/>
          <w:sz w:val="22"/>
          <w:szCs w:val="22"/>
          <w:u w:val="single"/>
          <w:lang w:val="ka-GE"/>
        </w:rPr>
        <w:t>მაგალითად:</w:t>
      </w:r>
      <w:r w:rsidR="000A2ED4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 </w:t>
      </w:r>
    </w:p>
    <w:p w:rsidR="00715C09" w:rsidRPr="00D217E2" w:rsidRDefault="00715C09" w:rsidP="00366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before="46"/>
        <w:ind w:left="567" w:right="357"/>
        <w:jc w:val="both"/>
        <w:rPr>
          <w:rFonts w:ascii="Sylfaen" w:eastAsia="AcadNusx" w:hAnsi="Sylfaen" w:cs="AcadNusx"/>
          <w:sz w:val="22"/>
          <w:szCs w:val="22"/>
          <w:u w:val="single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1.  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 xml:space="preserve">Palo G.D., Trevor M.B.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(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eds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.), EU Mediation Law and Practice, Great Britain, Oxford University Press, 2012, 118.</w:t>
      </w:r>
    </w:p>
    <w:p w:rsidR="00715C09" w:rsidRPr="00D217E2" w:rsidRDefault="00715C09" w:rsidP="00366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6"/>
        <w:ind w:left="567" w:right="35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2.</w:t>
      </w:r>
      <w:r w:rsidR="00B03335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იქვე, 158-159 (წყარო იგივეა, განსხვავებულია გვერდი).</w:t>
      </w:r>
    </w:p>
    <w:p w:rsidR="00715C09" w:rsidRPr="00D217E2" w:rsidRDefault="00715C09" w:rsidP="00366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6"/>
        <w:ind w:left="567" w:right="35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3. იქვე. (წყაროც და გვერდიც ერთი და იგივეა).</w:t>
      </w:r>
    </w:p>
    <w:p w:rsidR="009D14A7" w:rsidRPr="00D217E2" w:rsidRDefault="009D14A7" w:rsidP="00406233">
      <w:pPr>
        <w:spacing w:before="9"/>
        <w:ind w:left="108" w:right="65" w:firstLine="403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366289" w:rsidRPr="00D217E2" w:rsidRDefault="00366289" w:rsidP="00366289">
      <w:pPr>
        <w:ind w:left="1134" w:hanging="567"/>
        <w:jc w:val="both"/>
        <w:rPr>
          <w:rFonts w:ascii="Sylfaen" w:eastAsia="AcadNusx" w:hAnsi="Sylfaen" w:cs="AcadNusx"/>
          <w:b/>
          <w:bCs/>
          <w:spacing w:val="1"/>
          <w:sz w:val="24"/>
          <w:szCs w:val="22"/>
          <w:lang w:val="ka-GE"/>
        </w:rPr>
      </w:pPr>
    </w:p>
    <w:p w:rsidR="00366289" w:rsidRPr="00D217E2" w:rsidRDefault="00366289" w:rsidP="00D217E2">
      <w:pPr>
        <w:pStyle w:val="ListParagraph"/>
        <w:numPr>
          <w:ilvl w:val="0"/>
          <w:numId w:val="14"/>
        </w:numPr>
        <w:ind w:left="284" w:hanging="284"/>
        <w:jc w:val="both"/>
        <w:rPr>
          <w:rFonts w:ascii="Sylfaen" w:eastAsia="AcadNusx" w:hAnsi="Sylfaen" w:cs="AcadNusx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>სქოლიოს გაფორმების  წესი</w:t>
      </w:r>
    </w:p>
    <w:p w:rsidR="008F434F" w:rsidRPr="00D217E2" w:rsidRDefault="008F434F" w:rsidP="00406233">
      <w:pPr>
        <w:spacing w:before="9"/>
        <w:ind w:left="108" w:right="65" w:firstLine="403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F5390F" w:rsidRPr="00D217E2" w:rsidRDefault="00B03335" w:rsidP="00366289">
      <w:pPr>
        <w:pStyle w:val="ListParagraph"/>
        <w:numPr>
          <w:ilvl w:val="0"/>
          <w:numId w:val="4"/>
        </w:numPr>
        <w:spacing w:before="13"/>
        <w:ind w:left="284" w:right="69" w:hanging="284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>სამართლებრივი  აქტი</w:t>
      </w:r>
      <w:r w:rsidR="00F5390F"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>:</w:t>
      </w:r>
    </w:p>
    <w:p w:rsidR="00F5390F" w:rsidRPr="00D217E2" w:rsidRDefault="00F5390F" w:rsidP="00406233">
      <w:pPr>
        <w:spacing w:before="13"/>
        <w:ind w:left="63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A638E0" w:rsidRPr="00D217E2" w:rsidRDefault="00F5390F" w:rsidP="00366289">
      <w:pPr>
        <w:pStyle w:val="ListParagraph"/>
        <w:spacing w:before="13"/>
        <w:ind w:left="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>წესი №1</w:t>
      </w:r>
      <w:r w:rsidR="00366289"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 xml:space="preserve"> - </w:t>
      </w:r>
      <w:r w:rsidR="00B03335" w:rsidRPr="00D217E2">
        <w:rPr>
          <w:rFonts w:ascii="Sylfaen" w:eastAsia="AcadNusx" w:hAnsi="Sylfaen" w:cs="AcadNusx"/>
          <w:spacing w:val="1"/>
          <w:sz w:val="22"/>
          <w:szCs w:val="22"/>
          <w:lang w:val="ka-GE"/>
        </w:rPr>
        <w:t>აუცილებელია  სქოლიოში  მიეთითოს  მისი სრული დასახელება, მუხლი, პუნქტი/ნაწილი, წყარო, რომელშიც ის გამოქვეყნდა, აგრეთვე გვერდი და თარიღი</w:t>
      </w:r>
      <w:r w:rsidR="00D9353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366289" w:rsidRPr="00D217E2" w:rsidRDefault="00366289" w:rsidP="00366289">
      <w:pPr>
        <w:pStyle w:val="ListParagraph"/>
        <w:spacing w:before="13"/>
        <w:ind w:left="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4747CD" w:rsidRPr="00D217E2" w:rsidRDefault="006E6DE2" w:rsidP="00406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 xml:space="preserve"> </w:t>
      </w:r>
      <w:r w:rsidRPr="00D217E2">
        <w:rPr>
          <w:rFonts w:ascii="Sylfaen" w:eastAsia="AcadNusx" w:hAnsi="Sylfaen" w:cs="AcadNusx"/>
          <w:b/>
          <w:sz w:val="22"/>
          <w:szCs w:val="22"/>
          <w:u w:val="single"/>
          <w:lang w:val="ka-GE"/>
        </w:rPr>
        <w:t>მაგალითად</w:t>
      </w:r>
      <w:r w:rsidR="009D14A7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9D14A7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B6503A" w:rsidRPr="00D217E2" w:rsidRDefault="00B6503A" w:rsidP="00406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5F40BA" w:rsidRPr="00D217E2" w:rsidRDefault="009D14A7" w:rsidP="00406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3"/>
        <w:ind w:left="540" w:right="69"/>
        <w:jc w:val="both"/>
        <w:rPr>
          <w:rFonts w:ascii="Sylfaen" w:hAnsi="Sylfaen" w:cs="Helvetica"/>
          <w:sz w:val="22"/>
          <w:szCs w:val="22"/>
          <w:shd w:val="clear" w:color="auto" w:fill="FFFFFF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საქართველოს კონსტიტუცია, </w:t>
      </w:r>
      <w:r w:rsidRPr="00D217E2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საქართველოს</w:t>
      </w:r>
      <w:r w:rsidRPr="00D217E2">
        <w:rPr>
          <w:rFonts w:ascii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Pr="00D217E2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პარლამენტის</w:t>
      </w:r>
      <w:r w:rsidRPr="00D217E2">
        <w:rPr>
          <w:rFonts w:ascii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Pr="00D217E2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უწყებები</w:t>
      </w:r>
      <w:r w:rsidRPr="00D217E2">
        <w:rPr>
          <w:rFonts w:ascii="Sylfaen" w:hAnsi="Sylfaen" w:cs="Helvetica"/>
          <w:sz w:val="22"/>
          <w:szCs w:val="22"/>
          <w:shd w:val="clear" w:color="auto" w:fill="FFFFFF"/>
          <w:lang w:val="ka-GE"/>
        </w:rPr>
        <w:t>, 31-33, 24/08/1995.</w:t>
      </w:r>
    </w:p>
    <w:p w:rsidR="00366289" w:rsidRPr="00D217E2" w:rsidRDefault="00366289" w:rsidP="00406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3"/>
        <w:ind w:left="540" w:right="69"/>
        <w:jc w:val="both"/>
        <w:rPr>
          <w:rFonts w:ascii="Sylfaen" w:hAnsi="Sylfaen" w:cs="Helvetica"/>
          <w:sz w:val="22"/>
          <w:szCs w:val="22"/>
          <w:shd w:val="clear" w:color="auto" w:fill="FFFFFF"/>
          <w:lang w:val="ka-GE"/>
        </w:rPr>
      </w:pPr>
    </w:p>
    <w:p w:rsidR="009D14A7" w:rsidRPr="00D217E2" w:rsidRDefault="009D14A7" w:rsidP="00406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3"/>
        <w:ind w:left="540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eastAsia="AcadNusx" w:hAnsi="Sylfaen"/>
          <w:sz w:val="22"/>
          <w:szCs w:val="22"/>
          <w:lang w:val="ka-GE"/>
        </w:rPr>
        <w:t>Constitution of Spain, 31/10/1978.</w:t>
      </w:r>
    </w:p>
    <w:p w:rsidR="00EA6907" w:rsidRPr="00D217E2" w:rsidRDefault="00EA6907" w:rsidP="00406233">
      <w:pP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EA6907" w:rsidRPr="00D217E2" w:rsidRDefault="00F5390F" w:rsidP="00366289">
      <w:pPr>
        <w:pStyle w:val="ListParagraph"/>
        <w:spacing w:before="13"/>
        <w:ind w:left="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lastRenderedPageBreak/>
        <w:t>წესი №2</w:t>
      </w:r>
      <w:r w:rsidR="00366289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 - </w:t>
      </w:r>
      <w:r w:rsidR="00EA6907" w:rsidRPr="00D217E2">
        <w:rPr>
          <w:rFonts w:ascii="Sylfaen" w:eastAsia="AcadNusx" w:hAnsi="Sylfaen" w:cs="AcadNusx"/>
          <w:sz w:val="22"/>
          <w:szCs w:val="22"/>
          <w:lang w:val="ka-GE"/>
        </w:rPr>
        <w:t>ძალადაკარგული სამართლებრივი აქტის გამოყენების შემთხვევაში, აუცილებელია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,</w:t>
      </w:r>
      <w:r w:rsidR="00EA6907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აქტისთვის დადგენილი წესით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t>(წესი №1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)</w:t>
      </w:r>
      <w:r w:rsidR="00EA6907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მითითებული ინფორმაციის ბოლოს ფრჩხილებში მიეთითოს აქტის ძალადაკარგულად გამოცხადების თარიღი და სიტყვა ,,ძალადაკარგულია“. </w:t>
      </w:r>
    </w:p>
    <w:p w:rsidR="00366289" w:rsidRPr="00D217E2" w:rsidRDefault="00366289" w:rsidP="00366289">
      <w:pPr>
        <w:pStyle w:val="ListParagraph"/>
        <w:spacing w:before="13"/>
        <w:ind w:left="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C04AE7" w:rsidRPr="00D217E2" w:rsidRDefault="00C04AE7" w:rsidP="00366289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3"/>
        <w:ind w:left="540" w:right="69"/>
        <w:jc w:val="both"/>
        <w:rPr>
          <w:rFonts w:ascii="Sylfaen" w:eastAsia="AcadNusx" w:hAnsi="Sylfaen" w:cs="AcadNusx"/>
          <w:b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b/>
          <w:sz w:val="22"/>
          <w:szCs w:val="22"/>
          <w:u w:val="single"/>
          <w:lang w:val="ka-GE"/>
        </w:rPr>
        <w:t>მაგალითად</w:t>
      </w: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t>:</w:t>
      </w:r>
    </w:p>
    <w:p w:rsidR="00B6503A" w:rsidRPr="00D217E2" w:rsidRDefault="00B6503A" w:rsidP="00366289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3"/>
        <w:ind w:left="540" w:right="69"/>
        <w:jc w:val="both"/>
        <w:rPr>
          <w:rFonts w:ascii="Sylfaen" w:eastAsia="AcadNusx" w:hAnsi="Sylfaen" w:cs="AcadNusx"/>
          <w:b/>
          <w:sz w:val="22"/>
          <w:szCs w:val="22"/>
          <w:lang w:val="ka-GE"/>
        </w:rPr>
      </w:pPr>
    </w:p>
    <w:p w:rsidR="00EA6907" w:rsidRPr="00D217E2" w:rsidRDefault="00346789" w:rsidP="00366289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საქართველოს კანონი ,,საჯარო სამსახურის შესახებ“, მე-7 მუხლი, პარლამენტის </w:t>
      </w:r>
      <w:r w:rsidR="00F5390F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              </w:t>
      </w:r>
      <w:r w:rsidR="00C04AE7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 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უწყებანი</w:t>
      </w:r>
      <w:r w:rsidR="00366289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45, 21/11/1997 (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ძალადაკარგულია</w:t>
      </w:r>
      <w:r w:rsidR="00502944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,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27/10/2015).</w:t>
      </w:r>
    </w:p>
    <w:p w:rsidR="00EA6907" w:rsidRPr="00D217E2" w:rsidRDefault="00EA6907" w:rsidP="00406233">
      <w:pPr>
        <w:spacing w:before="13"/>
        <w:ind w:left="18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715C09" w:rsidRPr="00D217E2" w:rsidRDefault="00715C09" w:rsidP="00406233">
      <w:pPr>
        <w:spacing w:before="13"/>
        <w:ind w:left="18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F5390F" w:rsidRPr="00D217E2" w:rsidRDefault="00B03335" w:rsidP="00366289">
      <w:pPr>
        <w:pStyle w:val="ListParagraph"/>
        <w:numPr>
          <w:ilvl w:val="0"/>
          <w:numId w:val="4"/>
        </w:numPr>
        <w:spacing w:before="18"/>
        <w:ind w:left="284" w:hanging="284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>ლიტერატურული წყაროები</w:t>
      </w:r>
      <w:r w:rsidR="00F5390F"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>:</w:t>
      </w:r>
    </w:p>
    <w:p w:rsidR="00F5390F" w:rsidRPr="00D217E2" w:rsidRDefault="00F5390F" w:rsidP="00406233">
      <w:pPr>
        <w:pStyle w:val="ListParagraph"/>
        <w:spacing w:before="18"/>
        <w:ind w:left="1350"/>
        <w:rPr>
          <w:rFonts w:ascii="Sylfaen" w:eastAsia="AcadNusx" w:hAnsi="Sylfaen" w:cs="AcadNusx"/>
          <w:sz w:val="22"/>
          <w:szCs w:val="22"/>
          <w:lang w:val="ka-GE"/>
        </w:rPr>
      </w:pPr>
    </w:p>
    <w:p w:rsidR="00A638E0" w:rsidRPr="00D217E2" w:rsidRDefault="00B03335" w:rsidP="00366289">
      <w:pPr>
        <w:pStyle w:val="ListParagraph"/>
        <w:spacing w:before="18"/>
        <w:ind w:left="0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pacing w:val="1"/>
          <w:sz w:val="22"/>
          <w:szCs w:val="22"/>
          <w:lang w:val="ka-GE"/>
        </w:rPr>
        <w:t>აუცილებელია მიეთითოს:</w:t>
      </w:r>
    </w:p>
    <w:p w:rsidR="00710C80" w:rsidRPr="00D217E2" w:rsidRDefault="00710C80" w:rsidP="00406233">
      <w:pPr>
        <w:pStyle w:val="ListParagraph"/>
        <w:spacing w:before="85"/>
        <w:ind w:left="1034" w:right="68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A638E0" w:rsidRPr="00D217E2" w:rsidRDefault="00B03335" w:rsidP="00366289">
      <w:pPr>
        <w:pStyle w:val="ListParagraph"/>
        <w:spacing w:before="85"/>
        <w:ind w:left="0" w:right="68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t>წიგნისთვის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="00366289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ავტორის (ავტორების) გვარი, სახელის ინიციალი</w:t>
      </w:r>
      <w:r w:rsidR="00FB51E8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(</w:t>
      </w:r>
      <w:r w:rsidR="00FB51E8" w:rsidRPr="00D217E2">
        <w:rPr>
          <w:rFonts w:ascii="Sylfaen" w:eastAsia="AcadNusx" w:hAnsi="Sylfaen" w:cs="AcadNusx"/>
          <w:i/>
          <w:sz w:val="22"/>
          <w:szCs w:val="22"/>
          <w:lang w:val="ka-GE"/>
        </w:rPr>
        <w:t>დახრით</w:t>
      </w:r>
      <w:r w:rsidR="00FB51E8" w:rsidRPr="00D217E2">
        <w:rPr>
          <w:rFonts w:ascii="Sylfaen" w:eastAsia="AcadNusx" w:hAnsi="Sylfaen" w:cs="AcadNusx"/>
          <w:sz w:val="22"/>
          <w:szCs w:val="22"/>
          <w:lang w:val="ka-GE"/>
        </w:rPr>
        <w:t>)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, წიგნის სათაური (უბრჭყალებოდ), ნაწილის,  ნაკვეთის,  ტომის  ნომერი  (თუ  საჭიროა), გამოცემის ადგილი, წელი, გვერდი (გვ.-ს გარეშე).</w:t>
      </w:r>
    </w:p>
    <w:p w:rsidR="00762093" w:rsidRPr="00D217E2" w:rsidRDefault="00762093" w:rsidP="00366289">
      <w:pPr>
        <w:pStyle w:val="ListParagraph"/>
        <w:spacing w:before="85"/>
        <w:ind w:left="0" w:right="68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87273E" w:rsidRPr="00D217E2" w:rsidRDefault="0087273E" w:rsidP="00366289">
      <w:pPr>
        <w:pStyle w:val="ListParagraph"/>
        <w:spacing w:before="85"/>
        <w:ind w:left="0" w:right="68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t xml:space="preserve">ნათარგმნი წყაროების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გამოყენებისას, შესაბამისი ნაშრომის ავტორის გვარისა და სახელის ინიციალის, ნაშრომის სათაურის მითითების შემდეგ, მიეთითება მთარგმნელის გვარი და სახელის ინიციალი, ფრჩხილებში მიეთითება მისი სტატუსი (მთარგმნელი/მთარგმნელები), რედაქტორის გვარი და სახელის ინიციალი (ასეთის არსებობის შემთხვევაში ,,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 xml:space="preserve">რედ“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ფრჩხილებში). ყველა გვარი და სახელის ინიციალი მიეთითება </w:t>
      </w:r>
      <w:r w:rsidRPr="00D217E2">
        <w:rPr>
          <w:rFonts w:ascii="Sylfaen" w:eastAsia="AcadNusx" w:hAnsi="Sylfaen" w:cs="AcadNusx"/>
          <w:b/>
          <w:i/>
          <w:sz w:val="22"/>
          <w:szCs w:val="22"/>
          <w:lang w:val="ka-GE"/>
        </w:rPr>
        <w:t>დახრით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(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იტალიკით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).</w:t>
      </w:r>
    </w:p>
    <w:p w:rsidR="00762093" w:rsidRPr="00D217E2" w:rsidRDefault="00762093" w:rsidP="00406233">
      <w:pPr>
        <w:pStyle w:val="ListParagraph"/>
        <w:spacing w:before="85"/>
        <w:ind w:left="1034" w:right="68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9D14A7" w:rsidRPr="00D217E2" w:rsidRDefault="00B03335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მაგალითად</w:t>
      </w:r>
      <w:r w:rsidR="009D14A7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9D14A7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B6503A" w:rsidRPr="00D217E2" w:rsidRDefault="00B6503A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4747CD" w:rsidRPr="00D217E2" w:rsidRDefault="004747CD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/>
          <w:sz w:val="22"/>
          <w:szCs w:val="22"/>
          <w:lang w:val="ka-GE"/>
        </w:rPr>
      </w:pPr>
      <w:r w:rsidRPr="00D217E2">
        <w:rPr>
          <w:rFonts w:ascii="Sylfaen" w:hAnsi="Sylfaen" w:cs="Sylfaen"/>
          <w:i/>
          <w:sz w:val="22"/>
          <w:szCs w:val="22"/>
          <w:lang w:val="ka-GE"/>
        </w:rPr>
        <w:t>ტურავა</w:t>
      </w:r>
      <w:r w:rsidRPr="00D217E2">
        <w:rPr>
          <w:rFonts w:ascii="Sylfaen" w:hAnsi="Sylfaen"/>
          <w:i/>
          <w:sz w:val="22"/>
          <w:szCs w:val="22"/>
          <w:lang w:val="ka-GE"/>
        </w:rPr>
        <w:t xml:space="preserve"> </w:t>
      </w:r>
      <w:r w:rsidRPr="00D217E2">
        <w:rPr>
          <w:rFonts w:ascii="Sylfaen" w:hAnsi="Sylfaen" w:cs="Sylfaen"/>
          <w:i/>
          <w:sz w:val="22"/>
          <w:szCs w:val="22"/>
          <w:lang w:val="ka-GE"/>
        </w:rPr>
        <w:t>პ</w:t>
      </w:r>
      <w:r w:rsidRPr="00D217E2">
        <w:rPr>
          <w:rFonts w:ascii="Sylfaen" w:hAnsi="Sylfaen"/>
          <w:i/>
          <w:sz w:val="22"/>
          <w:szCs w:val="22"/>
          <w:lang w:val="ka-GE"/>
        </w:rPr>
        <w:t>.,</w:t>
      </w:r>
      <w:r w:rsidRPr="00D217E2">
        <w:rPr>
          <w:rFonts w:ascii="Sylfaen" w:hAnsi="Sylfaen"/>
          <w:sz w:val="22"/>
          <w:szCs w:val="22"/>
          <w:lang w:val="ka-GE"/>
        </w:rPr>
        <w:t xml:space="preserve"> </w:t>
      </w:r>
      <w:r w:rsidRPr="00D217E2">
        <w:rPr>
          <w:rFonts w:ascii="Sylfaen" w:hAnsi="Sylfaen" w:cs="Sylfaen"/>
          <w:sz w:val="22"/>
          <w:szCs w:val="22"/>
          <w:lang w:val="ka-GE"/>
        </w:rPr>
        <w:t>ზოგადი</w:t>
      </w:r>
      <w:r w:rsidRPr="00D217E2">
        <w:rPr>
          <w:rFonts w:ascii="Sylfaen" w:hAnsi="Sylfaen"/>
          <w:sz w:val="22"/>
          <w:szCs w:val="22"/>
          <w:lang w:val="ka-GE"/>
        </w:rPr>
        <w:t xml:space="preserve"> </w:t>
      </w:r>
      <w:r w:rsidRPr="00D217E2">
        <w:rPr>
          <w:rFonts w:ascii="Sylfaen" w:hAnsi="Sylfaen" w:cs="Sylfaen"/>
          <w:sz w:val="22"/>
          <w:szCs w:val="22"/>
          <w:lang w:val="ka-GE"/>
        </w:rPr>
        <w:t>ადმინისტრაციული</w:t>
      </w:r>
      <w:r w:rsidRPr="00D217E2">
        <w:rPr>
          <w:rFonts w:ascii="Sylfaen" w:hAnsi="Sylfaen"/>
          <w:sz w:val="22"/>
          <w:szCs w:val="22"/>
          <w:lang w:val="ka-GE"/>
        </w:rPr>
        <w:t xml:space="preserve"> </w:t>
      </w:r>
      <w:bookmarkStart w:id="0" w:name="_GoBack"/>
      <w:r w:rsidRPr="00D217E2">
        <w:rPr>
          <w:rFonts w:ascii="Sylfaen" w:hAnsi="Sylfaen" w:cs="Sylfaen"/>
          <w:sz w:val="22"/>
          <w:szCs w:val="22"/>
          <w:lang w:val="ka-GE"/>
        </w:rPr>
        <w:t>სამართ</w:t>
      </w:r>
      <w:bookmarkEnd w:id="0"/>
      <w:r w:rsidRPr="00D217E2">
        <w:rPr>
          <w:rFonts w:ascii="Sylfaen" w:hAnsi="Sylfaen" w:cs="Sylfaen"/>
          <w:sz w:val="22"/>
          <w:szCs w:val="22"/>
          <w:lang w:val="ka-GE"/>
        </w:rPr>
        <w:t>ალი</w:t>
      </w:r>
      <w:r w:rsidRPr="00D217E2">
        <w:rPr>
          <w:rFonts w:ascii="Sylfaen" w:hAnsi="Sylfaen"/>
          <w:sz w:val="22"/>
          <w:szCs w:val="22"/>
          <w:lang w:val="ka-GE"/>
        </w:rPr>
        <w:t xml:space="preserve">, </w:t>
      </w:r>
      <w:r w:rsidRPr="00D217E2">
        <w:rPr>
          <w:rFonts w:ascii="Sylfaen" w:hAnsi="Sylfaen" w:cs="Sylfaen"/>
          <w:sz w:val="22"/>
          <w:szCs w:val="22"/>
          <w:lang w:val="ka-GE"/>
        </w:rPr>
        <w:t>მე</w:t>
      </w:r>
      <w:r w:rsidRPr="00D217E2">
        <w:rPr>
          <w:rFonts w:ascii="Sylfaen" w:hAnsi="Sylfaen"/>
          <w:sz w:val="22"/>
          <w:szCs w:val="22"/>
          <w:lang w:val="ka-GE"/>
        </w:rPr>
        <w:t xml:space="preserve">-2 </w:t>
      </w:r>
      <w:r w:rsidRPr="00D217E2">
        <w:rPr>
          <w:rFonts w:ascii="Sylfaen" w:hAnsi="Sylfaen" w:cs="Sylfaen"/>
          <w:sz w:val="22"/>
          <w:szCs w:val="22"/>
          <w:lang w:val="ka-GE"/>
        </w:rPr>
        <w:t>გამოც</w:t>
      </w:r>
      <w:r w:rsidRPr="00D217E2">
        <w:rPr>
          <w:rFonts w:ascii="Sylfaen" w:hAnsi="Sylfaen"/>
          <w:sz w:val="22"/>
          <w:szCs w:val="22"/>
          <w:lang w:val="ka-GE"/>
        </w:rPr>
        <w:t xml:space="preserve">., </w:t>
      </w:r>
      <w:r w:rsidRPr="00D217E2">
        <w:rPr>
          <w:rFonts w:ascii="Sylfaen" w:hAnsi="Sylfaen" w:cs="Sylfaen"/>
          <w:sz w:val="22"/>
          <w:szCs w:val="22"/>
          <w:lang w:val="ka-GE"/>
        </w:rPr>
        <w:t>თბ</w:t>
      </w:r>
      <w:r w:rsidRPr="00D217E2">
        <w:rPr>
          <w:rFonts w:ascii="Sylfaen" w:hAnsi="Sylfaen"/>
          <w:sz w:val="22"/>
          <w:szCs w:val="22"/>
          <w:lang w:val="ka-GE"/>
        </w:rPr>
        <w:t>., 2018, 24.</w:t>
      </w:r>
    </w:p>
    <w:p w:rsidR="004747CD" w:rsidRPr="00D217E2" w:rsidRDefault="004747CD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 w:cs="Sylfaen"/>
          <w:i/>
          <w:sz w:val="22"/>
          <w:szCs w:val="22"/>
          <w:lang w:val="ka-GE"/>
        </w:rPr>
      </w:pPr>
    </w:p>
    <w:p w:rsidR="004747CD" w:rsidRPr="00D217E2" w:rsidRDefault="009D14A7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i/>
          <w:iCs/>
          <w:sz w:val="22"/>
          <w:szCs w:val="22"/>
          <w:lang w:val="ka-GE"/>
        </w:rPr>
        <w:t>კროპჰოლერი ი.,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გერმანიის სამოქალაქო კოდექსი, 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დარჯანია თ., ჭეჭელაშვილი ზ.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(</w:t>
      </w:r>
      <w:r w:rsidR="0087273E" w:rsidRPr="00D217E2">
        <w:rPr>
          <w:rFonts w:ascii="Sylfaen" w:eastAsia="AcadNusx" w:hAnsi="Sylfaen" w:cs="AcadNusx"/>
          <w:i/>
          <w:sz w:val="22"/>
          <w:szCs w:val="22"/>
          <w:lang w:val="ka-GE"/>
        </w:rPr>
        <w:t>მთარგმნელები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), </w:t>
      </w:r>
      <w:r w:rsidRPr="00D217E2">
        <w:rPr>
          <w:rFonts w:ascii="Sylfaen" w:eastAsia="AcadNusx" w:hAnsi="Sylfaen" w:cs="AcadNusx"/>
          <w:i/>
          <w:iCs/>
          <w:sz w:val="22"/>
          <w:szCs w:val="22"/>
          <w:lang w:val="ka-GE"/>
        </w:rPr>
        <w:t>ჩაჩანიძე ე., დარჯანია თ., თოთლაძე ლ.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(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რედ.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), მე-13 გამოც., თბ.,  2014, § 631, აბზ. 1.      </w:t>
      </w:r>
    </w:p>
    <w:p w:rsidR="009D14A7" w:rsidRPr="00D217E2" w:rsidRDefault="009D14A7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   </w:t>
      </w:r>
    </w:p>
    <w:p w:rsidR="009D14A7" w:rsidRPr="00D217E2" w:rsidRDefault="009D14A7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hAnsi="Sylfaen"/>
          <w:i/>
          <w:sz w:val="22"/>
          <w:szCs w:val="22"/>
          <w:lang w:val="ka-GE"/>
        </w:rPr>
        <w:t>Klaus H.,</w:t>
      </w:r>
      <w:r w:rsidRPr="00D217E2">
        <w:rPr>
          <w:rFonts w:ascii="Sylfaen" w:hAnsi="Sylfaen"/>
          <w:sz w:val="22"/>
          <w:szCs w:val="22"/>
          <w:lang w:val="ka-GE"/>
        </w:rPr>
        <w:t xml:space="preserve"> Handbook on Probation Services, Rome, London, 1998, 15.</w:t>
      </w:r>
    </w:p>
    <w:p w:rsidR="002872D8" w:rsidRPr="00D217E2" w:rsidRDefault="002872D8" w:rsidP="00406233">
      <w:pPr>
        <w:spacing w:before="9"/>
        <w:ind w:left="960" w:right="126" w:hanging="286"/>
        <w:jc w:val="both"/>
        <w:rPr>
          <w:rFonts w:ascii="Sylfaen" w:eastAsia="AcadNusx" w:hAnsi="Sylfaen" w:cs="AcadNusx"/>
          <w:spacing w:val="3"/>
          <w:sz w:val="22"/>
          <w:szCs w:val="22"/>
          <w:lang w:val="ka-GE"/>
        </w:rPr>
      </w:pPr>
    </w:p>
    <w:p w:rsidR="00B23A60" w:rsidRPr="00D217E2" w:rsidRDefault="002872D8" w:rsidP="00C36D95">
      <w:pPr>
        <w:pStyle w:val="ListParagraph"/>
        <w:numPr>
          <w:ilvl w:val="0"/>
          <w:numId w:val="15"/>
        </w:numPr>
        <w:spacing w:before="9"/>
        <w:ind w:left="284" w:right="126" w:hanging="284"/>
        <w:jc w:val="both"/>
        <w:rPr>
          <w:rFonts w:ascii="Sylfaen" w:eastAsia="AcadNusx" w:hAnsi="Sylfaen" w:cs="AcadNusx"/>
          <w:spacing w:val="3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spacing w:val="3"/>
          <w:sz w:val="22"/>
          <w:szCs w:val="22"/>
          <w:lang w:val="ka-GE"/>
        </w:rPr>
        <w:t>მეორეული წყაროს</w:t>
      </w:r>
      <w:r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 გამოყენების შემთხვევაში, თავდაპირველად  უნდა მიეთითოს </w:t>
      </w:r>
      <w:r w:rsidR="002A0BBC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ის </w:t>
      </w:r>
      <w:r w:rsidR="00B23A60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>ნაშრომი,</w:t>
      </w:r>
      <w:r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 რომელ</w:t>
      </w:r>
      <w:r w:rsidR="00B23A60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>შიც ავტორი</w:t>
      </w:r>
      <w:r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 </w:t>
      </w:r>
      <w:r w:rsidR="00B23A60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>გაეცნო</w:t>
      </w:r>
      <w:r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  პირველად წყარო</w:t>
      </w:r>
      <w:r w:rsidR="00B23A60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ს. </w:t>
      </w:r>
    </w:p>
    <w:p w:rsidR="00710C80" w:rsidRPr="00D217E2" w:rsidRDefault="00710C80" w:rsidP="00406233">
      <w:pPr>
        <w:pStyle w:val="ListParagraph"/>
        <w:spacing w:before="9"/>
        <w:ind w:left="960" w:right="126"/>
        <w:jc w:val="both"/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</w:pPr>
    </w:p>
    <w:p w:rsidR="00B6503A" w:rsidRPr="00D217E2" w:rsidRDefault="002872D8" w:rsidP="00406233">
      <w:pPr>
        <w:pStyle w:val="ListParagraph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9"/>
        <w:ind w:left="567" w:right="126"/>
        <w:jc w:val="both"/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</w:pPr>
      <w:r w:rsidRPr="00D217E2">
        <w:rPr>
          <w:rFonts w:ascii="Sylfaen" w:eastAsia="AcadNusx" w:hAnsi="Sylfaen" w:cs="AcadNusx"/>
          <w:b/>
          <w:spacing w:val="3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b/>
          <w:spacing w:val="3"/>
          <w:sz w:val="22"/>
          <w:szCs w:val="22"/>
          <w:u w:val="single"/>
          <w:lang w:val="ka-GE"/>
        </w:rPr>
        <w:t>მაგალითად</w:t>
      </w:r>
      <w:r w:rsidR="00762093" w:rsidRPr="00D217E2">
        <w:rPr>
          <w:rFonts w:ascii="Sylfaen" w:eastAsia="AcadNusx" w:hAnsi="Sylfaen" w:cs="AcadNusx"/>
          <w:b/>
          <w:spacing w:val="3"/>
          <w:sz w:val="22"/>
          <w:szCs w:val="22"/>
          <w:u w:val="single"/>
          <w:lang w:val="ka-GE"/>
        </w:rPr>
        <w:t>:</w:t>
      </w:r>
      <w:r w:rsidR="00B23A60" w:rsidRPr="00D217E2"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  <w:t xml:space="preserve"> </w:t>
      </w:r>
    </w:p>
    <w:p w:rsidR="00B6503A" w:rsidRPr="00D217E2" w:rsidRDefault="00B6503A" w:rsidP="00406233">
      <w:pPr>
        <w:pStyle w:val="ListParagraph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9"/>
        <w:ind w:left="567" w:right="126"/>
        <w:jc w:val="both"/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</w:pPr>
    </w:p>
    <w:p w:rsidR="000A2ED4" w:rsidRPr="00D217E2" w:rsidRDefault="00B23A60" w:rsidP="00406233">
      <w:pPr>
        <w:pStyle w:val="ListParagraph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9"/>
        <w:ind w:left="567" w:right="126"/>
        <w:jc w:val="both"/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</w:pPr>
      <w:r w:rsidRPr="00D217E2"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  <w:t>(</w:t>
      </w:r>
      <w:r w:rsidR="00521E7D" w:rsidRPr="00D217E2"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  <w:t>ნაშრომის ავტორი ჯერ მიუთითებს იმ წყაროს, რომელშიც იგი პირველად წყაროს გაეცნო, შემდგომ ,,იხ. ციტირება“-ს გამოყენებით კი მიეთითება პირველადი წყარო)</w:t>
      </w:r>
      <w:r w:rsidRPr="00D217E2"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  <w:t xml:space="preserve">: </w:t>
      </w:r>
    </w:p>
    <w:p w:rsidR="006E6DE2" w:rsidRPr="00D217E2" w:rsidRDefault="006E6DE2" w:rsidP="00406233">
      <w:pPr>
        <w:pStyle w:val="ListParagraph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9"/>
        <w:ind w:left="567" w:right="126"/>
        <w:jc w:val="both"/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</w:pPr>
    </w:p>
    <w:p w:rsidR="002872D8" w:rsidRPr="00D217E2" w:rsidRDefault="002872D8" w:rsidP="00406233">
      <w:pPr>
        <w:pStyle w:val="ListParagraph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9"/>
        <w:ind w:left="567" w:right="126"/>
        <w:jc w:val="both"/>
        <w:rPr>
          <w:rFonts w:ascii="Sylfaen" w:eastAsia="AcadNusx" w:hAnsi="Sylfaen" w:cs="AcadNusx"/>
          <w:spacing w:val="3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i/>
          <w:spacing w:val="3"/>
          <w:sz w:val="22"/>
          <w:szCs w:val="22"/>
          <w:lang w:val="ka-GE"/>
        </w:rPr>
        <w:t>ელოშვილი ნ.,</w:t>
      </w:r>
      <w:r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 </w:t>
      </w:r>
      <w:r w:rsidR="005E7CE7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კონფიდენციალურობის პრინციპის მნიშვნელობა მედიაციის პროცესში, ჟურნ. ,,დავის ალტერნატიული გადაწყვეტა – წელიწდეული 2013“, თსუს გამომცემლობა 2014, 32, იხ. ციტირება: </w:t>
      </w:r>
      <w:r w:rsidR="005E7CE7" w:rsidRPr="00D217E2">
        <w:rPr>
          <w:rFonts w:ascii="Sylfaen" w:eastAsia="AcadNusx" w:hAnsi="Sylfaen" w:cs="AcadNusx"/>
          <w:i/>
          <w:spacing w:val="3"/>
          <w:sz w:val="22"/>
          <w:szCs w:val="22"/>
          <w:lang w:val="ka-GE"/>
        </w:rPr>
        <w:t>Alfini J.J.,</w:t>
      </w:r>
      <w:r w:rsidR="005E7CE7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 </w:t>
      </w:r>
      <w:r w:rsidR="005E7CE7" w:rsidRPr="00D217E2">
        <w:rPr>
          <w:rFonts w:ascii="Sylfaen" w:eastAsia="AcadNusx" w:hAnsi="Sylfaen" w:cs="AcadNusx"/>
          <w:i/>
          <w:spacing w:val="3"/>
          <w:sz w:val="22"/>
          <w:szCs w:val="22"/>
          <w:lang w:val="ka-GE"/>
        </w:rPr>
        <w:t>Press S.B., Sternlight J.R., Stulberg J.B.</w:t>
      </w:r>
      <w:r w:rsidR="005E7CE7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>, Mediation Theory and Practice, 2</w:t>
      </w:r>
      <w:r w:rsidR="005E7CE7" w:rsidRPr="00D217E2">
        <w:rPr>
          <w:rFonts w:ascii="Sylfaen" w:eastAsia="AcadNusx" w:hAnsi="Sylfaen" w:cs="AcadNusx"/>
          <w:spacing w:val="3"/>
          <w:sz w:val="22"/>
          <w:szCs w:val="22"/>
          <w:vertAlign w:val="superscript"/>
          <w:lang w:val="ka-GE"/>
        </w:rPr>
        <w:t>nd</w:t>
      </w:r>
      <w:r w:rsidR="005E7CE7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 ed., Lexisnexis, 2006, 222.</w:t>
      </w:r>
    </w:p>
    <w:p w:rsidR="002872D8" w:rsidRPr="00D217E2" w:rsidRDefault="002872D8" w:rsidP="00406233">
      <w:pPr>
        <w:spacing w:before="9"/>
        <w:ind w:left="960" w:right="126" w:hanging="286"/>
        <w:jc w:val="both"/>
        <w:rPr>
          <w:rFonts w:ascii="Sylfaen" w:eastAsia="AcadNusx" w:hAnsi="Sylfaen" w:cs="AcadNusx"/>
          <w:spacing w:val="3"/>
          <w:sz w:val="22"/>
          <w:szCs w:val="22"/>
          <w:lang w:val="ka-GE"/>
        </w:rPr>
      </w:pPr>
    </w:p>
    <w:p w:rsidR="00A638E0" w:rsidRPr="00D217E2" w:rsidRDefault="00B03335" w:rsidP="00C36D95">
      <w:pPr>
        <w:pStyle w:val="ListParagraph"/>
        <w:numPr>
          <w:ilvl w:val="0"/>
          <w:numId w:val="15"/>
        </w:numPr>
        <w:spacing w:before="9"/>
        <w:ind w:left="284" w:right="126" w:hanging="284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lastRenderedPageBreak/>
        <w:t>კრ</w:t>
      </w:r>
      <w:r w:rsidR="00762093" w:rsidRPr="00D217E2">
        <w:rPr>
          <w:rFonts w:ascii="Sylfaen" w:eastAsia="AcadNusx" w:hAnsi="Sylfaen" w:cs="AcadNusx"/>
          <w:b/>
          <w:bCs/>
          <w:spacing w:val="-1"/>
          <w:sz w:val="22"/>
          <w:szCs w:val="22"/>
          <w:lang w:val="ka-GE"/>
        </w:rPr>
        <w:t>ებულის სტატიის</w:t>
      </w:r>
      <w:r w:rsidR="00762093" w:rsidRPr="00D217E2">
        <w:rPr>
          <w:rFonts w:ascii="Sylfaen" w:eastAsia="AcadNusx" w:hAnsi="Sylfaen" w:cs="AcadNusx"/>
          <w:bCs/>
          <w:spacing w:val="-1"/>
          <w:sz w:val="22"/>
          <w:szCs w:val="22"/>
          <w:lang w:val="ka-GE"/>
        </w:rPr>
        <w:t xml:space="preserve"> გამოყენების შემთხვევაში</w:t>
      </w:r>
      <w:r w:rsidR="00D9353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აუცილებელია მიეთითოს: სტატიის  ავტორის  (ავტორების)  გვარი,  სახელის ინიციალი, სტატიის სათაური (უბრჭყალებოდ), კრებულის სახელწოდება (უბრჭყალებოდ), მითითებით, თუ ვისი რედაქციით გამოდის, ნაწილის, ნაკვეთის, ტომის ნომერი (თუ საჭიროა), გამოცემის ადგილი (თბილისის შემთხვევაში დასაშვებია შემოკლება – თბ., სხვა შემთხვევაში კი მიუთითეთ სრულად), წელი, გვერდი (გვ.-ს გარეშე).</w:t>
      </w:r>
    </w:p>
    <w:p w:rsidR="00FB51E8" w:rsidRPr="00D217E2" w:rsidRDefault="00FB51E8" w:rsidP="00FB51E8">
      <w:pPr>
        <w:spacing w:before="9"/>
        <w:ind w:right="126"/>
        <w:jc w:val="both"/>
        <w:rPr>
          <w:rFonts w:ascii="Sylfaen" w:eastAsia="AcadNusx" w:hAnsi="Sylfaen" w:cs="AcadNusx"/>
          <w:spacing w:val="1"/>
          <w:sz w:val="22"/>
          <w:szCs w:val="22"/>
          <w:lang w:val="ka-GE"/>
        </w:rPr>
      </w:pPr>
    </w:p>
    <w:p w:rsidR="004747CD" w:rsidRPr="00D217E2" w:rsidRDefault="00B03335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მაგალითად</w:t>
      </w:r>
      <w:r w:rsidR="004747CD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4747CD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B6503A" w:rsidRPr="00D217E2" w:rsidRDefault="00B6503A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4747CD" w:rsidRPr="00D217E2" w:rsidRDefault="004747CD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 w:cs="Sylfaen"/>
          <w:i/>
          <w:sz w:val="22"/>
          <w:szCs w:val="22"/>
          <w:lang w:val="ka-GE"/>
        </w:rPr>
      </w:pPr>
      <w:r w:rsidRPr="00D217E2">
        <w:rPr>
          <w:rFonts w:ascii="Sylfaen" w:hAnsi="Sylfaen" w:cs="Sylfaen"/>
          <w:i/>
          <w:sz w:val="22"/>
          <w:szCs w:val="22"/>
          <w:lang w:val="ka-GE"/>
        </w:rPr>
        <w:t xml:space="preserve">ბურდული ი., </w:t>
      </w:r>
      <w:r w:rsidRPr="00D217E2">
        <w:rPr>
          <w:rFonts w:ascii="Sylfaen" w:hAnsi="Sylfaen" w:cs="Sylfaen"/>
          <w:iCs/>
          <w:sz w:val="22"/>
          <w:szCs w:val="22"/>
          <w:lang w:val="ka-GE"/>
        </w:rPr>
        <w:t>საწესდებო კაპიტალი და მისი ფუნქციები, კრებულ</w:t>
      </w:r>
      <w:r w:rsidRPr="00D217E2">
        <w:rPr>
          <w:rFonts w:ascii="Sylfaen" w:hAnsi="Sylfaen"/>
          <w:iCs/>
          <w:sz w:val="22"/>
          <w:szCs w:val="22"/>
          <w:lang w:val="ka-GE"/>
        </w:rPr>
        <w:t>შ</w:t>
      </w:r>
      <w:r w:rsidRPr="00D217E2">
        <w:rPr>
          <w:rFonts w:ascii="Sylfaen" w:hAnsi="Sylfaen" w:cs="Sylfaen"/>
          <w:iCs/>
          <w:sz w:val="22"/>
          <w:szCs w:val="22"/>
          <w:lang w:val="ka-GE"/>
        </w:rPr>
        <w:t>ი: თანამედროვე საკორპორაციო სამართლის თეორიული და პრაქტიკული საკითხები,</w:t>
      </w:r>
      <w:r w:rsidRPr="00D217E2">
        <w:rPr>
          <w:rFonts w:ascii="Sylfaen" w:hAnsi="Sylfaen" w:cs="Sylfaen"/>
          <w:i/>
          <w:sz w:val="22"/>
          <w:szCs w:val="22"/>
          <w:lang w:val="ka-GE"/>
        </w:rPr>
        <w:t xml:space="preserve"> ელიზბარა</w:t>
      </w:r>
      <w:r w:rsidRPr="00D217E2">
        <w:rPr>
          <w:rFonts w:ascii="Sylfaen" w:hAnsi="Sylfaen"/>
          <w:i/>
          <w:sz w:val="22"/>
          <w:szCs w:val="22"/>
          <w:lang w:val="ka-GE"/>
        </w:rPr>
        <w:t>შ</w:t>
      </w:r>
      <w:r w:rsidRPr="00D217E2">
        <w:rPr>
          <w:rFonts w:ascii="Sylfaen" w:hAnsi="Sylfaen" w:cs="Sylfaen"/>
          <w:i/>
          <w:sz w:val="22"/>
          <w:szCs w:val="22"/>
          <w:lang w:val="ka-GE"/>
        </w:rPr>
        <w:t xml:space="preserve">ვილი ნ. </w:t>
      </w:r>
      <w:r w:rsidRPr="00D217E2">
        <w:rPr>
          <w:rFonts w:ascii="Sylfaen" w:hAnsi="Sylfaen" w:cs="Sylfaen"/>
          <w:iCs/>
          <w:sz w:val="22"/>
          <w:szCs w:val="22"/>
          <w:lang w:val="ka-GE"/>
        </w:rPr>
        <w:t>(</w:t>
      </w:r>
      <w:r w:rsidRPr="00D217E2">
        <w:rPr>
          <w:rFonts w:ascii="Sylfaen" w:hAnsi="Sylfaen" w:cs="Sylfaen"/>
          <w:i/>
          <w:iCs/>
          <w:sz w:val="22"/>
          <w:szCs w:val="22"/>
          <w:lang w:val="ka-GE"/>
        </w:rPr>
        <w:t>რედ</w:t>
      </w:r>
      <w:r w:rsidRPr="00D217E2">
        <w:rPr>
          <w:rFonts w:ascii="Sylfaen" w:hAnsi="Sylfaen" w:cs="Sylfaen"/>
          <w:iCs/>
          <w:sz w:val="22"/>
          <w:szCs w:val="22"/>
          <w:lang w:val="ka-GE"/>
        </w:rPr>
        <w:t>.),</w:t>
      </w:r>
      <w:r w:rsidRPr="00D217E2">
        <w:rPr>
          <w:rFonts w:ascii="Sylfaen" w:hAnsi="Sylfaen" w:cs="Sylfaen"/>
          <w:i/>
          <w:sz w:val="22"/>
          <w:szCs w:val="22"/>
          <w:lang w:val="ka-GE"/>
        </w:rPr>
        <w:t xml:space="preserve"> </w:t>
      </w:r>
      <w:r w:rsidRPr="00D217E2">
        <w:rPr>
          <w:rFonts w:ascii="Sylfaen" w:hAnsi="Sylfaen" w:cs="Sylfaen"/>
          <w:iCs/>
          <w:sz w:val="22"/>
          <w:szCs w:val="22"/>
          <w:lang w:val="ka-GE"/>
        </w:rPr>
        <w:t>თბ., 2009, 236.</w:t>
      </w:r>
    </w:p>
    <w:p w:rsidR="006E6DE2" w:rsidRPr="00D217E2" w:rsidRDefault="006E6DE2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4747CD" w:rsidRPr="00D217E2" w:rsidRDefault="004747CD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hAnsi="Sylfaen"/>
          <w:i/>
          <w:sz w:val="22"/>
          <w:szCs w:val="22"/>
          <w:lang w:val="ka-GE"/>
        </w:rPr>
        <w:t>Kennedy D.,</w:t>
      </w:r>
      <w:r w:rsidRPr="00D217E2">
        <w:rPr>
          <w:rFonts w:ascii="Sylfaen" w:hAnsi="Sylfaen"/>
          <w:sz w:val="22"/>
          <w:szCs w:val="22"/>
          <w:lang w:val="ka-GE"/>
        </w:rPr>
        <w:t xml:space="preserve"> The Politics and Methods of Comparative Law, The Common Core of European Private Law, Essays on the Project, </w:t>
      </w:r>
      <w:r w:rsidRPr="00D217E2">
        <w:rPr>
          <w:rFonts w:ascii="Sylfaen" w:hAnsi="Sylfaen"/>
          <w:i/>
          <w:sz w:val="22"/>
          <w:szCs w:val="22"/>
          <w:lang w:val="ka-GE"/>
        </w:rPr>
        <w:t>Mattei</w:t>
      </w:r>
      <w:r w:rsidRPr="00D217E2">
        <w:rPr>
          <w:rFonts w:ascii="Sylfaen" w:hAnsi="Sylfaen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i/>
          <w:sz w:val="22"/>
          <w:szCs w:val="22"/>
          <w:lang w:val="ka-GE"/>
        </w:rPr>
        <w:t>U</w:t>
      </w:r>
      <w:r w:rsidRPr="00D217E2">
        <w:rPr>
          <w:rFonts w:ascii="Sylfaen" w:hAnsi="Sylfaen"/>
          <w:sz w:val="22"/>
          <w:szCs w:val="22"/>
          <w:lang w:val="ka-GE"/>
        </w:rPr>
        <w:t xml:space="preserve">., </w:t>
      </w:r>
      <w:r w:rsidRPr="00D217E2">
        <w:rPr>
          <w:rFonts w:ascii="Sylfaen" w:hAnsi="Sylfaen"/>
          <w:i/>
          <w:sz w:val="22"/>
          <w:szCs w:val="22"/>
          <w:lang w:val="ka-GE"/>
        </w:rPr>
        <w:t>Bussani M</w:t>
      </w:r>
      <w:r w:rsidRPr="00D217E2">
        <w:rPr>
          <w:rFonts w:ascii="Sylfaen" w:hAnsi="Sylfaen"/>
          <w:sz w:val="22"/>
          <w:szCs w:val="22"/>
          <w:lang w:val="ka-GE"/>
        </w:rPr>
        <w:t>. (</w:t>
      </w:r>
      <w:r w:rsidRPr="00D217E2">
        <w:rPr>
          <w:rFonts w:ascii="Sylfaen" w:hAnsi="Sylfaen"/>
          <w:i/>
          <w:sz w:val="22"/>
          <w:szCs w:val="22"/>
          <w:lang w:val="ka-GE"/>
        </w:rPr>
        <w:t>eds</w:t>
      </w:r>
      <w:r w:rsidRPr="00D217E2">
        <w:rPr>
          <w:rFonts w:ascii="Sylfaen" w:hAnsi="Sylfaen"/>
          <w:sz w:val="22"/>
          <w:szCs w:val="22"/>
          <w:lang w:val="ka-GE"/>
        </w:rPr>
        <w:t>.), Hague, 2002, 143.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  </w:t>
      </w:r>
    </w:p>
    <w:p w:rsidR="004747CD" w:rsidRPr="00D217E2" w:rsidRDefault="004747CD" w:rsidP="00406233">
      <w:pPr>
        <w:spacing w:before="9"/>
        <w:ind w:left="960" w:right="126" w:hanging="286"/>
        <w:jc w:val="both"/>
        <w:rPr>
          <w:rFonts w:ascii="Sylfaen" w:eastAsia="AcadNusx" w:hAnsi="Sylfaen" w:cs="AcadNusx"/>
          <w:spacing w:val="1"/>
          <w:sz w:val="22"/>
          <w:szCs w:val="22"/>
          <w:lang w:val="ka-GE"/>
        </w:rPr>
      </w:pPr>
    </w:p>
    <w:p w:rsidR="004747CD" w:rsidRPr="00D217E2" w:rsidRDefault="004747CD" w:rsidP="00406233">
      <w:pPr>
        <w:spacing w:before="9"/>
        <w:ind w:left="960" w:right="126" w:hanging="286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A638E0" w:rsidRPr="00D217E2" w:rsidRDefault="00B03335" w:rsidP="00C36D95">
      <w:pPr>
        <w:pStyle w:val="ListParagraph"/>
        <w:numPr>
          <w:ilvl w:val="0"/>
          <w:numId w:val="15"/>
        </w:numPr>
        <w:spacing w:before="7"/>
        <w:ind w:left="284" w:right="113" w:hanging="284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t xml:space="preserve">ჟურნალის  (გაზეთის)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სტატიის გამოყენებისას აუცილებელია მიეთითოს:  სტატიის  ავტორის  (ავტორების)  გვარი, სახელის  ინიციალი,   სტატიის  სათაური  (უბრჭყალებოდ),   პერიოდიკის  სახელშემოკლებით     (ჟურნ.,  გაზ.,)  სახელწოდება (ქართულენოვანი გაზ./ჟურნ.-ის შემთხვევაში ბრჭყალებში, უცხოენოვანი გაზ./ჟურნ.-ის შემთხვევაში ბრჭყალების გარეშე),  ნომერი,  წელი  (თვე, რიცხვი), გვერდი (გვ.-ს გარეშე); უცხოური   წყაროების   ყველა   ბიბლიოგრაფიული ელემენტი  უნდა  მიეთითოს ორიგინალის  ენაზე,  ან  იმ  ენაზე,  რომელზეც  მას ეცნობა  ავტორი  (შესაბამისი ოფიციალური თარგმანის მითითებით).</w:t>
      </w:r>
    </w:p>
    <w:p w:rsidR="00710C80" w:rsidRPr="00D217E2" w:rsidRDefault="00710C80" w:rsidP="00406233">
      <w:pPr>
        <w:spacing w:before="7"/>
        <w:ind w:left="720" w:right="113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F71BA5" w:rsidRPr="00D217E2" w:rsidRDefault="007633C3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მაგალითად</w:t>
      </w:r>
      <w:r w:rsidR="00F71BA5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F71BA5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B6503A" w:rsidRPr="00D217E2" w:rsidRDefault="00B6503A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F71BA5" w:rsidRPr="00D217E2" w:rsidRDefault="00F71BA5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 w:cs="Sylfaen"/>
          <w:iCs/>
          <w:sz w:val="22"/>
          <w:szCs w:val="22"/>
          <w:lang w:val="ka-GE"/>
        </w:rPr>
      </w:pPr>
      <w:r w:rsidRPr="00D217E2">
        <w:rPr>
          <w:rFonts w:ascii="Sylfaen" w:hAnsi="Sylfaen" w:cs="Sylfaen"/>
          <w:i/>
          <w:sz w:val="22"/>
          <w:szCs w:val="22"/>
          <w:lang w:val="ka-GE"/>
        </w:rPr>
        <w:t xml:space="preserve">მგელაძე თ., </w:t>
      </w:r>
      <w:r w:rsidRPr="00D217E2">
        <w:rPr>
          <w:rFonts w:ascii="Sylfaen" w:hAnsi="Sylfaen" w:cs="Sylfaen"/>
          <w:iCs/>
          <w:sz w:val="22"/>
          <w:szCs w:val="22"/>
          <w:lang w:val="ka-GE"/>
        </w:rPr>
        <w:t>პარტნიორის გამჭოლი პასუხისმგებლობა აშშ-ის, გერმანიისა და საქართველოს</w:t>
      </w:r>
      <w:r w:rsidR="00B6503A" w:rsidRPr="00D217E2">
        <w:rPr>
          <w:rFonts w:ascii="Sylfaen" w:hAnsi="Sylfaen" w:cs="Sylfaen"/>
          <w:iCs/>
          <w:sz w:val="22"/>
          <w:szCs w:val="22"/>
          <w:lang w:val="ka-GE"/>
        </w:rPr>
        <w:t xml:space="preserve"> </w:t>
      </w:r>
      <w:r w:rsidRPr="00D217E2">
        <w:rPr>
          <w:rFonts w:ascii="Sylfaen" w:hAnsi="Sylfaen" w:cs="Sylfaen"/>
          <w:iCs/>
          <w:sz w:val="22"/>
          <w:szCs w:val="22"/>
          <w:lang w:val="ka-GE"/>
        </w:rPr>
        <w:t xml:space="preserve">სამართლის დოქტრინაში, „სამართლის ჟურნალი“, </w:t>
      </w:r>
      <w:r w:rsidRPr="00D217E2">
        <w:rPr>
          <w:rFonts w:ascii="Sylfaen" w:hAnsi="Sylfaen"/>
          <w:sz w:val="22"/>
          <w:szCs w:val="22"/>
          <w:lang w:val="ka-GE"/>
        </w:rPr>
        <w:t>№ 2, 2018, 56-57.</w:t>
      </w:r>
    </w:p>
    <w:p w:rsidR="00F71BA5" w:rsidRPr="00D217E2" w:rsidRDefault="00F71BA5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 w:cs="Sylfaen"/>
          <w:i/>
          <w:sz w:val="22"/>
          <w:szCs w:val="22"/>
          <w:lang w:val="ka-GE"/>
        </w:rPr>
      </w:pPr>
    </w:p>
    <w:p w:rsidR="00F71BA5" w:rsidRPr="00D217E2" w:rsidRDefault="00F71BA5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 w:cs="Sylfaen"/>
          <w:i/>
          <w:sz w:val="22"/>
          <w:szCs w:val="22"/>
          <w:lang w:val="ka-GE"/>
        </w:rPr>
      </w:pPr>
      <w:r w:rsidRPr="00D217E2">
        <w:rPr>
          <w:rFonts w:ascii="Sylfaen" w:hAnsi="Sylfaen"/>
          <w:i/>
          <w:sz w:val="22"/>
          <w:szCs w:val="22"/>
          <w:lang w:val="ka-GE"/>
        </w:rPr>
        <w:t>ბაინდურაშვილი ნ.,</w:t>
      </w:r>
      <w:r w:rsidRPr="00D217E2">
        <w:rPr>
          <w:rFonts w:ascii="Sylfaen" w:hAnsi="Sylfaen"/>
          <w:sz w:val="22"/>
          <w:szCs w:val="22"/>
          <w:lang w:val="ka-GE"/>
        </w:rPr>
        <w:t xml:space="preserve"> სამოხელეო დავის განხორციელების სპეციფიკა, სამართლებრივი პრობლემები და მათი გადაჭრის გზები, ჟურნ. „მართლმსაჯულება და კანონი“, № 3(38), 2013, 116.</w:t>
      </w:r>
    </w:p>
    <w:p w:rsidR="00F71BA5" w:rsidRPr="00D217E2" w:rsidRDefault="00F71BA5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 w:cs="Sylfaen"/>
          <w:i/>
          <w:sz w:val="22"/>
          <w:szCs w:val="22"/>
          <w:lang w:val="ka-GE"/>
        </w:rPr>
      </w:pPr>
    </w:p>
    <w:p w:rsidR="00F71BA5" w:rsidRPr="00D217E2" w:rsidRDefault="00F71BA5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 w:cs="Sylfaen"/>
          <w:i/>
          <w:sz w:val="22"/>
          <w:szCs w:val="22"/>
          <w:lang w:val="ka-GE"/>
        </w:rPr>
      </w:pPr>
      <w:r w:rsidRPr="00D217E2">
        <w:rPr>
          <w:rFonts w:ascii="Sylfaen" w:hAnsi="Sylfaen"/>
          <w:i/>
          <w:sz w:val="22"/>
          <w:szCs w:val="22"/>
          <w:lang w:val="ka-GE"/>
        </w:rPr>
        <w:t xml:space="preserve">Akkermans B., </w:t>
      </w:r>
      <w:r w:rsidRPr="00D217E2">
        <w:rPr>
          <w:rFonts w:ascii="Sylfaen" w:hAnsi="Sylfaen"/>
          <w:iCs/>
          <w:sz w:val="22"/>
          <w:szCs w:val="22"/>
          <w:lang w:val="ka-GE"/>
        </w:rPr>
        <w:t>Sustainable Property Law?, European Property Law Journal, Vol. 7, Issue 1, 2018, 1.</w:t>
      </w:r>
    </w:p>
    <w:p w:rsidR="00D341E4" w:rsidRPr="00D217E2" w:rsidRDefault="00D341E4" w:rsidP="00406233">
      <w:pPr>
        <w:ind w:left="177" w:right="61" w:firstLine="480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A638E0" w:rsidRPr="00D217E2" w:rsidRDefault="007633C3" w:rsidP="00456956">
      <w:pPr>
        <w:pStyle w:val="ListParagraph"/>
        <w:numPr>
          <w:ilvl w:val="0"/>
          <w:numId w:val="15"/>
        </w:numPr>
        <w:ind w:left="284" w:right="61" w:hanging="284"/>
        <w:jc w:val="both"/>
        <w:rPr>
          <w:rFonts w:ascii="Sylfaen" w:eastAsia="AcadNusx" w:hAnsi="Sylfaen" w:cs="AcadNusx"/>
          <w:position w:val="2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position w:val="2"/>
          <w:sz w:val="22"/>
          <w:szCs w:val="22"/>
          <w:lang w:val="ka-GE"/>
        </w:rPr>
        <w:t>ინტერნეტის საშუალებით მოპოვებული მასალა</w:t>
      </w:r>
      <w:r w:rsidRPr="00D217E2">
        <w:rPr>
          <w:rFonts w:ascii="Sylfaen" w:eastAsia="AcadNusx" w:hAnsi="Sylfaen" w:cs="AcadNusx"/>
          <w:position w:val="2"/>
          <w:sz w:val="22"/>
          <w:szCs w:val="22"/>
          <w:lang w:val="ka-GE"/>
        </w:rPr>
        <w:t>, საჭიროებს შესაბამისი ინტერნეტგვერდისა და ბოლო განახლების თარიღის მითითებას; სტატიის შემთხვევაში უნდა მიეთითოს ავტორის გვარი, სტატიის სათაური, სათაურის შემდგომ მძიმე, ინტერნეტგვერდი, თარიღი. სამკუთხედ ფრჩხილებში (&lt;....&gt;) მიეთითება ელექტრონული მისამართი, კვადრატულ ფრჩხილებში ([....]) კი ბოლო განახლების თარიღი. სამკუთხედ და კვადრატულ ფრჩხილთა შორის მძიმე არ დაისმება.</w:t>
      </w:r>
    </w:p>
    <w:p w:rsidR="00456956" w:rsidRPr="00D217E2" w:rsidRDefault="00456956" w:rsidP="00456956">
      <w:pPr>
        <w:ind w:right="61"/>
        <w:jc w:val="both"/>
        <w:rPr>
          <w:rFonts w:ascii="Sylfaen" w:eastAsia="AcadNusx" w:hAnsi="Sylfaen" w:cs="AcadNusx"/>
          <w:position w:val="2"/>
          <w:sz w:val="22"/>
          <w:szCs w:val="22"/>
          <w:lang w:val="ka-GE"/>
        </w:rPr>
      </w:pPr>
    </w:p>
    <w:p w:rsidR="00456956" w:rsidRPr="00D217E2" w:rsidRDefault="00456956" w:rsidP="00456956">
      <w:pPr>
        <w:ind w:right="61"/>
        <w:jc w:val="both"/>
        <w:rPr>
          <w:rFonts w:ascii="Sylfaen" w:eastAsia="AcadNusx" w:hAnsi="Sylfaen" w:cs="AcadNusx"/>
          <w:position w:val="2"/>
          <w:sz w:val="22"/>
          <w:szCs w:val="22"/>
          <w:lang w:val="ka-GE"/>
        </w:rPr>
      </w:pPr>
    </w:p>
    <w:p w:rsidR="00456956" w:rsidRPr="00D217E2" w:rsidRDefault="00456956" w:rsidP="00456956">
      <w:pPr>
        <w:ind w:right="61"/>
        <w:jc w:val="both"/>
        <w:rPr>
          <w:rFonts w:ascii="Sylfaen" w:eastAsia="AcadNusx" w:hAnsi="Sylfaen" w:cs="AcadNusx"/>
          <w:position w:val="2"/>
          <w:sz w:val="22"/>
          <w:szCs w:val="22"/>
          <w:lang w:val="ka-GE"/>
        </w:rPr>
      </w:pPr>
    </w:p>
    <w:p w:rsidR="00B6503A" w:rsidRPr="00D217E2" w:rsidRDefault="00B6503A" w:rsidP="00B6503A">
      <w:pPr>
        <w:ind w:right="61"/>
        <w:jc w:val="both"/>
        <w:rPr>
          <w:rFonts w:ascii="Sylfaen" w:eastAsia="AcadNusx" w:hAnsi="Sylfaen" w:cs="AcadNusx"/>
          <w:position w:val="2"/>
          <w:sz w:val="22"/>
          <w:szCs w:val="22"/>
          <w:lang w:val="ka-GE"/>
        </w:rPr>
      </w:pPr>
    </w:p>
    <w:p w:rsidR="00D341E4" w:rsidRPr="00D217E2" w:rsidRDefault="007633C3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lastRenderedPageBreak/>
        <w:t>მაგალითად</w:t>
      </w:r>
      <w:r w:rsidR="00D341E4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D341E4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B6503A" w:rsidRPr="00D217E2" w:rsidRDefault="00B6503A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D341E4" w:rsidRPr="00D217E2" w:rsidRDefault="00D341E4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eastAsia="AcadNusx" w:hAnsi="Sylfaen"/>
          <w:i/>
          <w:iCs/>
          <w:sz w:val="22"/>
          <w:szCs w:val="22"/>
          <w:lang w:val="ka-GE"/>
        </w:rPr>
        <w:t>Zhen Qu C., Ahl B.,</w:t>
      </w:r>
      <w:r w:rsidRPr="00D217E2">
        <w:rPr>
          <w:rFonts w:ascii="Sylfaen" w:eastAsia="AcadNusx" w:hAnsi="Sylfaen"/>
          <w:sz w:val="22"/>
          <w:szCs w:val="22"/>
          <w:lang w:val="ka-GE"/>
        </w:rPr>
        <w:t xml:space="preserve"> Lowering the Corporate Veil in Germany: a Case Note on BGH 16 July 2007 (Trihotel), Oxford U Comparative L Forum 4, 2008, &lt;ouclf.iuscomp.org&gt;</w:t>
      </w:r>
      <w:r w:rsidR="00521E7D" w:rsidRPr="00D217E2">
        <w:rPr>
          <w:rFonts w:ascii="Sylfaen" w:eastAsia="AcadNusx" w:hAnsi="Sylfaen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/>
          <w:sz w:val="22"/>
          <w:szCs w:val="22"/>
          <w:lang w:val="ka-GE"/>
        </w:rPr>
        <w:t>[12.12.2018].</w:t>
      </w:r>
    </w:p>
    <w:p w:rsidR="00D341E4" w:rsidRPr="00D217E2" w:rsidRDefault="00D341E4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</w:p>
    <w:p w:rsidR="00D341E4" w:rsidRPr="00D217E2" w:rsidRDefault="00D341E4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hAnsi="Sylfaen"/>
          <w:sz w:val="22"/>
          <w:szCs w:val="22"/>
          <w:lang w:val="ka-GE"/>
        </w:rPr>
        <w:t>საქართველოს პარლამენტის ეროვნული ბიბლიოთეკა,  &lt;</w:t>
      </w:r>
      <w:hyperlink r:id="rId8" w:history="1">
        <w:r w:rsidRPr="00D217E2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>http://www.nplg.gov.ge/gwdict/index.php?a=term&amp;d=6&amp;t=7413</w:t>
        </w:r>
      </w:hyperlink>
      <w:r w:rsidR="00521E7D" w:rsidRPr="00D217E2">
        <w:rPr>
          <w:rFonts w:ascii="Sylfaen" w:hAnsi="Sylfaen"/>
          <w:sz w:val="22"/>
          <w:szCs w:val="22"/>
          <w:lang w:val="ka-GE"/>
        </w:rPr>
        <w:t xml:space="preserve">&gt; </w:t>
      </w:r>
      <w:r w:rsidRPr="00D217E2">
        <w:rPr>
          <w:rFonts w:ascii="Sylfaen" w:hAnsi="Sylfaen"/>
          <w:sz w:val="22"/>
          <w:szCs w:val="22"/>
          <w:lang w:val="ka-GE"/>
        </w:rPr>
        <w:t>[03.12.2019].</w:t>
      </w:r>
    </w:p>
    <w:p w:rsidR="00B6503A" w:rsidRPr="00D217E2" w:rsidRDefault="00B6503A" w:rsidP="00406233">
      <w:pPr>
        <w:spacing w:before="2"/>
        <w:rPr>
          <w:rFonts w:ascii="Sylfaen" w:hAnsi="Sylfaen"/>
          <w:sz w:val="22"/>
          <w:szCs w:val="22"/>
          <w:lang w:val="ka-GE"/>
        </w:rPr>
      </w:pPr>
    </w:p>
    <w:p w:rsidR="00A638E0" w:rsidRPr="00D217E2" w:rsidRDefault="00A638E0" w:rsidP="00406233">
      <w:pPr>
        <w:rPr>
          <w:rFonts w:ascii="Sylfaen" w:hAnsi="Sylfaen"/>
          <w:sz w:val="22"/>
          <w:szCs w:val="22"/>
          <w:lang w:val="ka-GE"/>
        </w:rPr>
      </w:pPr>
    </w:p>
    <w:p w:rsidR="007633C3" w:rsidRPr="00D217E2" w:rsidRDefault="007633C3" w:rsidP="00B6503A">
      <w:pPr>
        <w:pStyle w:val="ListParagraph"/>
        <w:numPr>
          <w:ilvl w:val="0"/>
          <w:numId w:val="13"/>
        </w:numPr>
        <w:ind w:left="284" w:right="61" w:hanging="284"/>
        <w:jc w:val="both"/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 xml:space="preserve">საერთაშორისო სასამართლოსა და სხვა ქვეყნების გადაწყვეტილებები: </w:t>
      </w:r>
    </w:p>
    <w:p w:rsidR="007633C3" w:rsidRPr="00D217E2" w:rsidRDefault="007633C3" w:rsidP="00406233">
      <w:pPr>
        <w:pStyle w:val="ListParagraph"/>
        <w:ind w:right="61"/>
        <w:jc w:val="both"/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</w:pPr>
    </w:p>
    <w:p w:rsidR="00FE3D12" w:rsidRPr="00D217E2" w:rsidRDefault="007633C3" w:rsidP="00406233">
      <w:pPr>
        <w:pStyle w:val="ListParagraph"/>
        <w:ind w:left="0" w:right="61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Cs/>
          <w:spacing w:val="1"/>
          <w:sz w:val="22"/>
          <w:szCs w:val="22"/>
          <w:lang w:val="ka-GE"/>
        </w:rPr>
        <w:t xml:space="preserve">საქმეებისა და  მათი გადაწყვეტილებების სახელწოდებები ტექსტში გამოიყენება ქართულად (იტალიკით), სრულად კი ორიგინალის ენაზე შეიძლება იქვე მიეწეროს ან სქოლიოში მიეთითოს შემდეგი თანმიმდევრობით: მხარე მხარის წინააღმდეგ, წელი, გამომქვეყნებელი ორგანო, გვერდი, სასამართლო. </w:t>
      </w:r>
    </w:p>
    <w:p w:rsidR="00710C80" w:rsidRPr="00D217E2" w:rsidRDefault="00710C80" w:rsidP="00406233">
      <w:pPr>
        <w:pStyle w:val="ListParagraph"/>
        <w:ind w:left="0" w:right="61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D341E4" w:rsidRPr="00D217E2" w:rsidRDefault="007633C3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მაგალითად</w:t>
      </w:r>
      <w:r w:rsidR="00D341E4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D341E4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D341E4" w:rsidRPr="00D217E2" w:rsidRDefault="00D341E4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D341E4" w:rsidRPr="00D217E2" w:rsidRDefault="00D341E4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/>
          <w:b/>
          <w:bCs/>
          <w:sz w:val="22"/>
          <w:szCs w:val="22"/>
          <w:lang w:val="ka-GE"/>
        </w:rPr>
        <w:t xml:space="preserve">Court of Justice </w:t>
      </w:r>
    </w:p>
    <w:p w:rsidR="00D341E4" w:rsidRPr="00D217E2" w:rsidRDefault="00D341E4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eastAsia="AcadNusx" w:hAnsi="Sylfaen"/>
          <w:sz w:val="22"/>
          <w:szCs w:val="22"/>
          <w:lang w:val="ka-GE"/>
        </w:rPr>
        <w:t>მაგ.: Case 16/62, Van Gend en Loos, [1963] ECR 95.</w:t>
      </w:r>
    </w:p>
    <w:p w:rsidR="00FE3D12" w:rsidRPr="00D217E2" w:rsidRDefault="00FE3D1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</w:p>
    <w:p w:rsidR="00D341E4" w:rsidRPr="00D217E2" w:rsidRDefault="00D341E4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/>
          <w:b/>
          <w:bCs/>
          <w:sz w:val="22"/>
          <w:szCs w:val="22"/>
          <w:lang w:val="ka-GE"/>
        </w:rPr>
        <w:t xml:space="preserve">European Court of Human Rights </w:t>
      </w:r>
    </w:p>
    <w:p w:rsidR="00D341E4" w:rsidRPr="00D217E2" w:rsidRDefault="00D341E4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eastAsia="AcadNusx" w:hAnsi="Sylfaen"/>
          <w:sz w:val="22"/>
          <w:szCs w:val="22"/>
          <w:lang w:val="ka-GE"/>
        </w:rPr>
        <w:t>მაგ.:  Kostovski v. The Netherlands, [1990] ECHR (Ser. A.), 221.</w:t>
      </w:r>
    </w:p>
    <w:p w:rsidR="00FE3D12" w:rsidRPr="00D217E2" w:rsidRDefault="00FE3D1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</w:p>
    <w:p w:rsidR="00D341E4" w:rsidRPr="00D217E2" w:rsidRDefault="00D341E4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/>
          <w:b/>
          <w:bCs/>
          <w:sz w:val="22"/>
          <w:szCs w:val="22"/>
          <w:lang w:val="ka-GE"/>
        </w:rPr>
        <w:t xml:space="preserve">International Court of Justice </w:t>
      </w:r>
    </w:p>
    <w:p w:rsidR="00D341E4" w:rsidRPr="00D217E2" w:rsidRDefault="00D341E4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eastAsia="AcadNusx" w:hAnsi="Sylfaen"/>
          <w:sz w:val="22"/>
          <w:szCs w:val="22"/>
          <w:lang w:val="ka-GE"/>
        </w:rPr>
        <w:t>მაგ.: Maritime Delimitation and Territorial Questions Between Qatar and Bahrain, [1995] ICJ Reports.</w:t>
      </w:r>
    </w:p>
    <w:p w:rsidR="00FE3D12" w:rsidRPr="00D217E2" w:rsidRDefault="00FE3D1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</w:p>
    <w:p w:rsidR="00FE3D12" w:rsidRPr="00D217E2" w:rsidRDefault="006E6DE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>დიდი ბრიტანეთის სასამართლოებისთვის</w:t>
      </w:r>
    </w:p>
    <w:p w:rsidR="00FE3D12" w:rsidRPr="00D217E2" w:rsidRDefault="006E6DE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ტექსტში მაგ</w:t>
      </w:r>
      <w:r w:rsidR="00FE3D1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.: </w:t>
      </w:r>
      <w:r w:rsidRPr="00D217E2">
        <w:rPr>
          <w:rFonts w:ascii="Sylfaen" w:eastAsia="AcadNusx" w:hAnsi="Sylfaen" w:cs="AcadNusx"/>
          <w:spacing w:val="1"/>
          <w:sz w:val="22"/>
          <w:szCs w:val="22"/>
          <w:lang w:val="ka-GE"/>
        </w:rPr>
        <w:t>საქმე</w:t>
      </w:r>
      <w:r w:rsidR="00FE3D12" w:rsidRPr="00D217E2">
        <w:rPr>
          <w:rFonts w:ascii="Sylfaen" w:eastAsia="AcadNusx" w:hAnsi="Sylfaen" w:cs="AcadNusx"/>
          <w:spacing w:val="49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i/>
          <w:iCs/>
          <w:spacing w:val="1"/>
          <w:sz w:val="22"/>
          <w:szCs w:val="22"/>
          <w:lang w:val="ka-GE"/>
        </w:rPr>
        <w:t>არგილი არგილის წინაღმდეგ</w:t>
      </w:r>
      <w:r w:rsidR="00FE3D1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; </w:t>
      </w:r>
    </w:p>
    <w:p w:rsidR="00FE3D12" w:rsidRPr="00D217E2" w:rsidRDefault="00FE3D1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sqolioSi mag.: </w:t>
      </w:r>
      <w:r w:rsidRPr="00D217E2">
        <w:rPr>
          <w:rFonts w:ascii="Sylfaen" w:hAnsi="Sylfaen"/>
          <w:i/>
          <w:sz w:val="22"/>
          <w:szCs w:val="22"/>
          <w:lang w:val="ka-GE"/>
        </w:rPr>
        <w:t>Arg</w:t>
      </w:r>
      <w:r w:rsidRPr="00D217E2">
        <w:rPr>
          <w:rFonts w:ascii="Sylfaen" w:hAnsi="Sylfaen"/>
          <w:i/>
          <w:spacing w:val="-1"/>
          <w:sz w:val="22"/>
          <w:szCs w:val="22"/>
          <w:lang w:val="ka-GE"/>
        </w:rPr>
        <w:t>y</w:t>
      </w:r>
      <w:r w:rsidRPr="00D217E2">
        <w:rPr>
          <w:rFonts w:ascii="Sylfaen" w:hAnsi="Sylfaen"/>
          <w:i/>
          <w:sz w:val="22"/>
          <w:szCs w:val="22"/>
          <w:lang w:val="ka-GE"/>
        </w:rPr>
        <w:t xml:space="preserve">ll </w:t>
      </w:r>
      <w:r w:rsidRPr="00D217E2">
        <w:rPr>
          <w:rFonts w:ascii="Sylfaen" w:hAnsi="Sylfaen"/>
          <w:i/>
          <w:spacing w:val="-1"/>
          <w:sz w:val="22"/>
          <w:szCs w:val="22"/>
          <w:lang w:val="ka-GE"/>
        </w:rPr>
        <w:t>v</w:t>
      </w:r>
      <w:r w:rsidRPr="00D217E2">
        <w:rPr>
          <w:rFonts w:ascii="Sylfaen" w:hAnsi="Sylfaen"/>
          <w:i/>
          <w:sz w:val="22"/>
          <w:szCs w:val="22"/>
          <w:lang w:val="ka-GE"/>
        </w:rPr>
        <w:t>. Arg</w:t>
      </w:r>
      <w:r w:rsidRPr="00D217E2">
        <w:rPr>
          <w:rFonts w:ascii="Sylfaen" w:hAnsi="Sylfaen"/>
          <w:i/>
          <w:spacing w:val="-1"/>
          <w:sz w:val="22"/>
          <w:szCs w:val="22"/>
          <w:lang w:val="ka-GE"/>
        </w:rPr>
        <w:t>y</w:t>
      </w:r>
      <w:r w:rsidRPr="00D217E2">
        <w:rPr>
          <w:rFonts w:ascii="Sylfaen" w:hAnsi="Sylfaen"/>
          <w:i/>
          <w:sz w:val="22"/>
          <w:szCs w:val="22"/>
          <w:lang w:val="ka-GE"/>
        </w:rPr>
        <w:t>ll</w:t>
      </w:r>
      <w:r w:rsidRPr="00D217E2">
        <w:rPr>
          <w:rFonts w:ascii="Sylfaen" w:hAnsi="Sylfaen"/>
          <w:sz w:val="22"/>
          <w:szCs w:val="22"/>
          <w:lang w:val="ka-GE"/>
        </w:rPr>
        <w:t xml:space="preserve">, </w:t>
      </w:r>
      <w:r w:rsidRPr="00D217E2">
        <w:rPr>
          <w:rFonts w:ascii="Sylfaen" w:hAnsi="Sylfaen"/>
          <w:spacing w:val="2"/>
          <w:sz w:val="22"/>
          <w:szCs w:val="22"/>
          <w:lang w:val="ka-GE"/>
        </w:rPr>
        <w:t>[</w:t>
      </w:r>
      <w:r w:rsidRPr="00D217E2">
        <w:rPr>
          <w:rFonts w:ascii="Sylfaen" w:hAnsi="Sylfaen"/>
          <w:sz w:val="22"/>
          <w:szCs w:val="22"/>
          <w:lang w:val="ka-GE"/>
        </w:rPr>
        <w:t>1967]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z w:val="22"/>
          <w:szCs w:val="22"/>
          <w:lang w:val="ka-GE"/>
        </w:rPr>
        <w:t>1Ch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z w:val="22"/>
          <w:szCs w:val="22"/>
          <w:lang w:val="ka-GE"/>
        </w:rPr>
        <w:t>302,324, 332.</w:t>
      </w:r>
    </w:p>
    <w:p w:rsidR="00FE3D12" w:rsidRPr="00D217E2" w:rsidRDefault="00FE3D1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/>
          <w:sz w:val="22"/>
          <w:szCs w:val="22"/>
          <w:lang w:val="ka-GE"/>
        </w:rPr>
      </w:pPr>
    </w:p>
    <w:p w:rsidR="00FE3D12" w:rsidRPr="00D217E2" w:rsidRDefault="006E6DE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>აშშ-ის სასამართლოსთვის</w:t>
      </w:r>
    </w:p>
    <w:p w:rsidR="00FE3D12" w:rsidRPr="00D217E2" w:rsidRDefault="006E6DE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w w:val="96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ტექსტში მაგ</w:t>
      </w:r>
      <w:r w:rsidR="00FE3D1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.: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საქმე 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ბრაუნი განათლების საბჭოს წინააღმდეგ</w:t>
      </w:r>
      <w:r w:rsidR="00FE3D12" w:rsidRPr="00D217E2">
        <w:rPr>
          <w:rFonts w:ascii="Sylfaen" w:eastAsia="AcadNusx" w:hAnsi="Sylfaen" w:cs="AcadNusx"/>
          <w:w w:val="96"/>
          <w:sz w:val="22"/>
          <w:szCs w:val="22"/>
          <w:lang w:val="ka-GE"/>
        </w:rPr>
        <w:t>;</w:t>
      </w:r>
    </w:p>
    <w:p w:rsidR="00FE3D12" w:rsidRPr="00D217E2" w:rsidRDefault="00FE3D1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sqolioSi mag.:</w:t>
      </w:r>
      <w:r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i/>
          <w:sz w:val="22"/>
          <w:szCs w:val="22"/>
          <w:lang w:val="ka-GE"/>
        </w:rPr>
        <w:t>Bro</w:t>
      </w:r>
      <w:r w:rsidRPr="00D217E2">
        <w:rPr>
          <w:rFonts w:ascii="Sylfaen" w:hAnsi="Sylfaen"/>
          <w:i/>
          <w:spacing w:val="1"/>
          <w:sz w:val="22"/>
          <w:szCs w:val="22"/>
          <w:lang w:val="ka-GE"/>
        </w:rPr>
        <w:t>w</w:t>
      </w:r>
      <w:r w:rsidRPr="00D217E2">
        <w:rPr>
          <w:rFonts w:ascii="Sylfaen" w:hAnsi="Sylfaen"/>
          <w:i/>
          <w:sz w:val="22"/>
          <w:szCs w:val="22"/>
          <w:lang w:val="ka-GE"/>
        </w:rPr>
        <w:t xml:space="preserve">n </w:t>
      </w:r>
      <w:r w:rsidRPr="00D217E2">
        <w:rPr>
          <w:rFonts w:ascii="Sylfaen" w:hAnsi="Sylfaen"/>
          <w:i/>
          <w:spacing w:val="-1"/>
          <w:sz w:val="22"/>
          <w:szCs w:val="22"/>
          <w:lang w:val="ka-GE"/>
        </w:rPr>
        <w:t xml:space="preserve">v. </w:t>
      </w:r>
      <w:r w:rsidRPr="00D217E2">
        <w:rPr>
          <w:rFonts w:ascii="Sylfaen" w:hAnsi="Sylfaen"/>
          <w:i/>
          <w:sz w:val="22"/>
          <w:szCs w:val="22"/>
          <w:lang w:val="ka-GE"/>
        </w:rPr>
        <w:t>Board of Edu</w:t>
      </w:r>
      <w:r w:rsidRPr="00D217E2">
        <w:rPr>
          <w:rFonts w:ascii="Sylfaen" w:hAnsi="Sylfaen"/>
          <w:i/>
          <w:spacing w:val="-1"/>
          <w:sz w:val="22"/>
          <w:szCs w:val="22"/>
          <w:lang w:val="ka-GE"/>
        </w:rPr>
        <w:t>c</w:t>
      </w:r>
      <w:r w:rsidRPr="00D217E2">
        <w:rPr>
          <w:rFonts w:ascii="Sylfaen" w:hAnsi="Sylfaen"/>
          <w:i/>
          <w:sz w:val="22"/>
          <w:szCs w:val="22"/>
          <w:lang w:val="ka-GE"/>
        </w:rPr>
        <w:t>ation</w:t>
      </w:r>
      <w:r w:rsidRPr="00D217E2">
        <w:rPr>
          <w:rFonts w:ascii="Sylfaen" w:hAnsi="Sylfaen"/>
          <w:sz w:val="22"/>
          <w:szCs w:val="22"/>
          <w:lang w:val="ka-GE"/>
        </w:rPr>
        <w:t xml:space="preserve">, </w:t>
      </w:r>
      <w:r w:rsidR="00431758" w:rsidRPr="00D217E2">
        <w:rPr>
          <w:rFonts w:ascii="Sylfaen" w:hAnsi="Sylfaen"/>
          <w:sz w:val="22"/>
          <w:szCs w:val="22"/>
          <w:lang w:val="ka-GE"/>
        </w:rPr>
        <w:t>(19</w:t>
      </w:r>
      <w:r w:rsidR="00431758" w:rsidRPr="00D217E2">
        <w:rPr>
          <w:rFonts w:ascii="Sylfaen" w:hAnsi="Sylfaen"/>
          <w:spacing w:val="-1"/>
          <w:sz w:val="22"/>
          <w:szCs w:val="22"/>
          <w:lang w:val="ka-GE"/>
        </w:rPr>
        <w:t>5</w:t>
      </w:r>
      <w:r w:rsidR="00431758" w:rsidRPr="00D217E2">
        <w:rPr>
          <w:rFonts w:ascii="Sylfaen" w:hAnsi="Sylfaen"/>
          <w:sz w:val="22"/>
          <w:szCs w:val="22"/>
          <w:lang w:val="ka-GE"/>
        </w:rPr>
        <w:t>4</w:t>
      </w:r>
      <w:r w:rsidR="00431758" w:rsidRPr="00D217E2">
        <w:rPr>
          <w:rFonts w:ascii="Sylfaen" w:hAnsi="Sylfaen"/>
          <w:spacing w:val="-1"/>
          <w:sz w:val="22"/>
          <w:szCs w:val="22"/>
          <w:lang w:val="ka-GE"/>
        </w:rPr>
        <w:t>)</w:t>
      </w:r>
      <w:r w:rsidR="00431758" w:rsidRPr="00D217E2">
        <w:rPr>
          <w:rFonts w:ascii="Sylfaen" w:hAnsi="Sylfaen"/>
          <w:sz w:val="22"/>
          <w:szCs w:val="22"/>
          <w:lang w:val="ka-GE"/>
        </w:rPr>
        <w:t xml:space="preserve">, </w:t>
      </w:r>
      <w:r w:rsidRPr="00D217E2">
        <w:rPr>
          <w:rFonts w:ascii="Sylfaen" w:hAnsi="Sylfaen"/>
          <w:sz w:val="22"/>
          <w:szCs w:val="22"/>
          <w:lang w:val="ka-GE"/>
        </w:rPr>
        <w:t>347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z w:val="22"/>
          <w:szCs w:val="22"/>
          <w:lang w:val="ka-GE"/>
        </w:rPr>
        <w:t>US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z w:val="22"/>
          <w:szCs w:val="22"/>
          <w:lang w:val="ka-GE"/>
        </w:rPr>
        <w:t>483</w:t>
      </w:r>
      <w:r w:rsidR="00431758" w:rsidRPr="00D217E2">
        <w:rPr>
          <w:rFonts w:ascii="Sylfaen" w:hAnsi="Sylfaen"/>
          <w:sz w:val="22"/>
          <w:szCs w:val="22"/>
          <w:lang w:val="ka-GE"/>
        </w:rPr>
        <w:t>.</w:t>
      </w:r>
    </w:p>
    <w:p w:rsidR="00D341E4" w:rsidRPr="00D217E2" w:rsidRDefault="00D341E4" w:rsidP="00406233">
      <w:pPr>
        <w:spacing w:before="15"/>
        <w:rPr>
          <w:rFonts w:ascii="Sylfaen" w:hAnsi="Sylfaen"/>
          <w:sz w:val="22"/>
          <w:szCs w:val="22"/>
          <w:lang w:val="ka-GE"/>
        </w:rPr>
      </w:pPr>
    </w:p>
    <w:p w:rsidR="007633C3" w:rsidRPr="00D217E2" w:rsidRDefault="007633C3" w:rsidP="00B6503A">
      <w:pPr>
        <w:pStyle w:val="ListParagraph"/>
        <w:numPr>
          <w:ilvl w:val="0"/>
          <w:numId w:val="4"/>
        </w:numPr>
        <w:spacing w:before="30"/>
        <w:ind w:left="284" w:hanging="284"/>
        <w:jc w:val="both"/>
        <w:rPr>
          <w:rFonts w:ascii="Sylfaen" w:eastAsia="AcadNusx" w:hAnsi="Sylfaen" w:cs="AcadNusx"/>
          <w:b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t>ეროვნული სასამართლოების გადაწყვეტილებები:</w:t>
      </w:r>
    </w:p>
    <w:p w:rsidR="007633C3" w:rsidRPr="00D217E2" w:rsidRDefault="007633C3" w:rsidP="00406233">
      <w:pPr>
        <w:pStyle w:val="ListParagraph"/>
        <w:spacing w:before="30"/>
        <w:ind w:left="360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7633C3" w:rsidRPr="00D217E2" w:rsidRDefault="007633C3" w:rsidP="00B6503A">
      <w:pPr>
        <w:pStyle w:val="ListParagraph"/>
        <w:spacing w:before="30"/>
        <w:ind w:left="0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აუცილებელია ოფიციალური ეროვნული სტილის შენარჩუნება. ერთგვაროვანი ეროვნული მიდგომის  არარსებობის შემთხვევაში ავტორმა  უნდა იხელმძღვანელოს შემდეგი ძირითადი წესით:</w:t>
      </w:r>
    </w:p>
    <w:p w:rsidR="007633C3" w:rsidRPr="00D217E2" w:rsidRDefault="007633C3" w:rsidP="00B6503A">
      <w:pPr>
        <w:pStyle w:val="ListParagraph"/>
        <w:spacing w:before="30"/>
        <w:ind w:left="0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7633C3" w:rsidRPr="00D217E2" w:rsidRDefault="007633C3" w:rsidP="00B6503A">
      <w:pPr>
        <w:pStyle w:val="ListParagraph"/>
        <w:spacing w:before="30"/>
        <w:ind w:left="0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საქართველოს სასამართლო გადაწყვეტილებების გამოყენებისას უნდა გამოიყოს</w:t>
      </w:r>
    </w:p>
    <w:p w:rsidR="007633C3" w:rsidRPr="00D217E2" w:rsidRDefault="007633C3" w:rsidP="00B6503A">
      <w:pPr>
        <w:pStyle w:val="ListParagraph"/>
        <w:spacing w:before="30"/>
        <w:ind w:left="0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შემთხვევები </w:t>
      </w:r>
      <w:r w:rsidR="00B6503A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1. გადაწყვეტილება გამოქვეყნებულია, 2. შესაძლებელია მისი გაცნობა ოფიციალურ ელექტრონულ წყაროში, 3. ხელმისაწვდომია მხოლოდ   სასამართლო არქივში _ და ჩამოყალიბდეს ერთიანი მიდგომები.</w:t>
      </w:r>
    </w:p>
    <w:p w:rsidR="00456956" w:rsidRPr="00D217E2" w:rsidRDefault="00456956" w:rsidP="00B6503A">
      <w:pPr>
        <w:pStyle w:val="ListParagraph"/>
        <w:spacing w:before="30"/>
        <w:ind w:left="0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7633C3" w:rsidRPr="00D217E2" w:rsidRDefault="007633C3" w:rsidP="00406233">
      <w:pPr>
        <w:pStyle w:val="ListParagraph"/>
        <w:spacing w:before="30"/>
        <w:ind w:left="360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D93532" w:rsidRPr="00D217E2" w:rsidRDefault="007633C3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lastRenderedPageBreak/>
        <w:t>მაგალითად</w:t>
      </w:r>
      <w:r w:rsidR="00D93532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D9353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B6503A" w:rsidRPr="00D217E2" w:rsidRDefault="00B6503A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D93532" w:rsidRPr="00D217E2" w:rsidRDefault="00D93532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Sylfaen"/>
          <w:sz w:val="22"/>
          <w:szCs w:val="22"/>
          <w:lang w:val="ka-GE"/>
        </w:rPr>
        <w:t>საქართველოს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უზენაესი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სასამართლოს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ადმინისტრაციულ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საქმეთა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პალატის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2016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წლის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14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ივლისის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გადაწყვეტილება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საქმეზე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/>
          <w:sz w:val="22"/>
          <w:szCs w:val="22"/>
          <w:lang w:val="ka-GE"/>
        </w:rPr>
        <w:t>№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ბს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-184-183(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კ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-16).</w:t>
      </w:r>
    </w:p>
    <w:p w:rsidR="00D93532" w:rsidRPr="00D217E2" w:rsidRDefault="00D93532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Sylfaen"/>
          <w:sz w:val="22"/>
          <w:szCs w:val="22"/>
          <w:lang w:val="ka-GE"/>
        </w:rPr>
        <w:t>თბილისის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საქალაქო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სასამართლოს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სამოქალაქო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საქმეთა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კოლეგიის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2019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წლის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25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მარტის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ბრძანება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და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სააღსრულებლო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ფურცელი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/>
          <w:sz w:val="22"/>
          <w:szCs w:val="22"/>
          <w:lang w:val="ka-GE"/>
        </w:rPr>
        <w:t>№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2/5856-19.</w:t>
      </w:r>
    </w:p>
    <w:p w:rsidR="00D93532" w:rsidRPr="00D217E2" w:rsidRDefault="00D93532" w:rsidP="00406233">
      <w:pPr>
        <w:ind w:left="177" w:right="61" w:firstLine="480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B6503A" w:rsidRPr="00D217E2" w:rsidRDefault="00B6503A" w:rsidP="00406233">
      <w:pPr>
        <w:ind w:left="177" w:right="61" w:firstLine="480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D93532" w:rsidRPr="00D217E2" w:rsidRDefault="00D93532" w:rsidP="00406233">
      <w:pPr>
        <w:rPr>
          <w:rFonts w:ascii="Sylfaen" w:hAnsi="Sylfaen"/>
          <w:sz w:val="22"/>
          <w:szCs w:val="22"/>
          <w:lang w:val="ka-GE"/>
        </w:rPr>
      </w:pPr>
    </w:p>
    <w:p w:rsidR="00715C09" w:rsidRPr="00D217E2" w:rsidRDefault="007633C3" w:rsidP="00B6503A">
      <w:pPr>
        <w:pStyle w:val="ListParagraph"/>
        <w:numPr>
          <w:ilvl w:val="0"/>
          <w:numId w:val="13"/>
        </w:numPr>
        <w:spacing w:before="6"/>
        <w:ind w:left="284" w:right="215" w:hanging="284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>საერთაშორისო ორგანიზაციათა დოკუმენტები</w:t>
      </w:r>
      <w:r w:rsidR="00715C09"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>:</w:t>
      </w:r>
    </w:p>
    <w:p w:rsidR="00715C09" w:rsidRPr="00D217E2" w:rsidRDefault="00715C09" w:rsidP="00406233">
      <w:pPr>
        <w:pStyle w:val="ListParagraph"/>
        <w:spacing w:before="6"/>
        <w:ind w:left="251" w:right="215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A638E0" w:rsidRPr="00D217E2" w:rsidRDefault="007633C3" w:rsidP="00B6503A">
      <w:pPr>
        <w:pStyle w:val="ListParagraph"/>
        <w:spacing w:before="6"/>
        <w:ind w:left="0" w:right="215"/>
        <w:jc w:val="both"/>
        <w:rPr>
          <w:rFonts w:ascii="Sylfaen" w:eastAsia="AcadNusx" w:hAnsi="Sylfaen" w:cs="AcadNusx"/>
          <w:spacing w:val="1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pacing w:val="1"/>
          <w:sz w:val="22"/>
          <w:szCs w:val="22"/>
          <w:lang w:val="ka-GE"/>
        </w:rPr>
        <w:t>საერთაშორისო ორგანიზაციათა დოკუმენტების დამოწმების წესი გამოიყენება იმ სტილით, რომელიც გამოყენებულია ოფიციალურად საერთაშორისო ორგანიზაციის მიერ (იხ. ოფიციალური ვებ-გვერდები).</w:t>
      </w:r>
    </w:p>
    <w:p w:rsidR="00B6503A" w:rsidRPr="00D217E2" w:rsidRDefault="00B6503A" w:rsidP="00B6503A">
      <w:pPr>
        <w:pStyle w:val="ListParagraph"/>
        <w:spacing w:before="6"/>
        <w:ind w:left="0" w:right="215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D93532" w:rsidRPr="00D217E2" w:rsidRDefault="007633C3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მაგალითად</w:t>
      </w:r>
      <w:r w:rsidR="00D93532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D9353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C551B0" w:rsidRPr="00D217E2" w:rsidRDefault="00C551B0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right="69" w:hanging="70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773886" w:rsidRPr="00D217E2" w:rsidRDefault="00C551B0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/>
          <w:sz w:val="22"/>
          <w:szCs w:val="22"/>
          <w:lang w:val="ka-GE"/>
        </w:rPr>
        <w:t>OECD, G20/OECD Principles of Corporate Gove</w:t>
      </w:r>
      <w:r w:rsidR="00B6503A" w:rsidRPr="00D217E2">
        <w:rPr>
          <w:rFonts w:ascii="Sylfaen" w:eastAsia="AcadNusx" w:hAnsi="Sylfaen"/>
          <w:sz w:val="22"/>
          <w:szCs w:val="22"/>
          <w:lang w:val="ka-GE"/>
        </w:rPr>
        <w:t xml:space="preserve">rnance, OECD Publishing, Paris, </w:t>
      </w:r>
      <w:r w:rsidRPr="00D217E2">
        <w:rPr>
          <w:rFonts w:ascii="Sylfaen" w:eastAsia="AcadNusx" w:hAnsi="Sylfaen"/>
          <w:sz w:val="22"/>
          <w:szCs w:val="22"/>
          <w:lang w:val="ka-GE"/>
        </w:rPr>
        <w:t>&lt;</w:t>
      </w:r>
      <w:hyperlink r:id="rId9" w:history="1">
        <w:r w:rsidRPr="00D217E2">
          <w:rPr>
            <w:rStyle w:val="Hyperlink"/>
            <w:rFonts w:ascii="Sylfaen" w:eastAsia="AcadNusx" w:hAnsi="Sylfaen"/>
            <w:color w:val="auto"/>
            <w:sz w:val="22"/>
            <w:szCs w:val="22"/>
            <w:lang w:val="ka-GE"/>
          </w:rPr>
          <w:t>http://dx.doi.org/10.1787/9789264236882-en</w:t>
        </w:r>
      </w:hyperlink>
      <w:r w:rsidRPr="00D217E2">
        <w:rPr>
          <w:rFonts w:ascii="Sylfaen" w:eastAsia="AcadNusx" w:hAnsi="Sylfaen"/>
          <w:sz w:val="22"/>
          <w:szCs w:val="22"/>
          <w:lang w:val="ka-GE"/>
        </w:rPr>
        <w:t>&gt;</w:t>
      </w:r>
      <w:r w:rsidR="003327A6" w:rsidRPr="00D217E2">
        <w:rPr>
          <w:rFonts w:ascii="Sylfaen" w:eastAsia="AcadNusx" w:hAnsi="Sylfaen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/>
          <w:sz w:val="22"/>
          <w:szCs w:val="22"/>
          <w:lang w:val="ka-GE"/>
        </w:rPr>
        <w:t>[03.12.2019].</w:t>
      </w:r>
    </w:p>
    <w:p w:rsidR="00773886" w:rsidRPr="00D217E2" w:rsidRDefault="00773886" w:rsidP="00406233">
      <w:pPr>
        <w:spacing w:before="2"/>
        <w:rPr>
          <w:rFonts w:ascii="Sylfaen" w:hAnsi="Sylfaen"/>
          <w:sz w:val="22"/>
          <w:szCs w:val="22"/>
          <w:lang w:val="ka-GE"/>
        </w:rPr>
      </w:pPr>
    </w:p>
    <w:p w:rsidR="00A638E0" w:rsidRPr="00D217E2" w:rsidRDefault="00A638E0" w:rsidP="00406233">
      <w:pPr>
        <w:rPr>
          <w:rFonts w:ascii="Sylfaen" w:hAnsi="Sylfaen"/>
          <w:sz w:val="22"/>
          <w:szCs w:val="22"/>
          <w:lang w:val="ka-GE"/>
        </w:rPr>
      </w:pPr>
    </w:p>
    <w:p w:rsidR="00A638E0" w:rsidRPr="00D217E2" w:rsidRDefault="007633C3" w:rsidP="00B6503A">
      <w:pPr>
        <w:pStyle w:val="ListParagraph"/>
        <w:numPr>
          <w:ilvl w:val="0"/>
          <w:numId w:val="13"/>
        </w:numPr>
        <w:ind w:left="284" w:hanging="284"/>
        <w:rPr>
          <w:rFonts w:ascii="Sylfaen" w:eastAsia="AcadNusx" w:hAnsi="Sylfaen" w:cs="AcadNusx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>კონვენციებისა და საერთაშორისო ხელშეკრულებების მითითება:</w:t>
      </w:r>
    </w:p>
    <w:p w:rsidR="00715C09" w:rsidRPr="00D217E2" w:rsidRDefault="00715C09" w:rsidP="00406233">
      <w:pPr>
        <w:pStyle w:val="ListParagraph"/>
        <w:ind w:left="450"/>
        <w:rPr>
          <w:rFonts w:ascii="Sylfaen" w:eastAsia="AcadNusx" w:hAnsi="Sylfaen" w:cs="AcadNusx"/>
          <w:b/>
          <w:bCs/>
          <w:sz w:val="22"/>
          <w:szCs w:val="22"/>
          <w:lang w:val="ka-GE"/>
        </w:rPr>
      </w:pPr>
    </w:p>
    <w:p w:rsidR="00715C09" w:rsidRPr="00D217E2" w:rsidRDefault="00E11811" w:rsidP="00406233">
      <w:pPr>
        <w:ind w:left="90"/>
        <w:jc w:val="both"/>
        <w:rPr>
          <w:rFonts w:ascii="Sylfaen" w:eastAsia="AcadNusx" w:hAnsi="Sylfaen" w:cs="AcadNusx"/>
          <w:bCs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Cs/>
          <w:sz w:val="22"/>
          <w:szCs w:val="22"/>
          <w:lang w:val="ka-GE"/>
        </w:rPr>
        <w:t>კონვენციებისა და საერთაშორისო ხელშეკრულებების</w:t>
      </w:r>
      <w:r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bCs/>
          <w:sz w:val="22"/>
          <w:szCs w:val="22"/>
          <w:lang w:val="ka-GE"/>
        </w:rPr>
        <w:t>გამოყენებისას, აუცილებელია მიეთითოს კონვენციის/საერთაშორისო ხელშერულების დასახელება, მუხლი/პუნქტი (ასეთის არსებობის შემთხვევაში), წყარო, რომელშიც აღნიშნული კონვენცია/საერთაშორისო ხელშეკრულებაა გამოქვეყნებული, კონვენციის/ხელშეკრულების მიღების/ძალაში შესვლის თარიღი, შესაბამისი გვერდი (ასეთის არსებობის შემთხვევაში).</w:t>
      </w:r>
    </w:p>
    <w:p w:rsidR="00A638E0" w:rsidRPr="00D217E2" w:rsidRDefault="00A638E0" w:rsidP="00406233">
      <w:pPr>
        <w:spacing w:before="7"/>
        <w:rPr>
          <w:rFonts w:ascii="Sylfaen" w:hAnsi="Sylfaen"/>
          <w:sz w:val="22"/>
          <w:szCs w:val="22"/>
          <w:lang w:val="ka-GE"/>
        </w:rPr>
      </w:pPr>
    </w:p>
    <w:p w:rsidR="00A638E0" w:rsidRPr="00D217E2" w:rsidRDefault="00A638E0" w:rsidP="00406233">
      <w:pPr>
        <w:rPr>
          <w:rFonts w:ascii="Sylfaen" w:hAnsi="Sylfaen"/>
          <w:sz w:val="22"/>
          <w:szCs w:val="22"/>
          <w:lang w:val="ka-GE"/>
        </w:rPr>
      </w:pPr>
    </w:p>
    <w:p w:rsidR="00E11811" w:rsidRPr="00D217E2" w:rsidRDefault="007633C3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before="13"/>
        <w:ind w:left="567" w:right="69"/>
        <w:jc w:val="both"/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მაგალითად</w:t>
      </w:r>
      <w:r w:rsidR="00E11811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</w:p>
    <w:p w:rsidR="00B6503A" w:rsidRPr="00D217E2" w:rsidRDefault="00B6503A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773886" w:rsidRPr="00D217E2" w:rsidRDefault="00773886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hAnsi="Sylfaen"/>
          <w:sz w:val="22"/>
          <w:szCs w:val="22"/>
          <w:lang w:val="ka-GE"/>
        </w:rPr>
        <w:t>Vi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e</w:t>
      </w:r>
      <w:r w:rsidRPr="00D217E2">
        <w:rPr>
          <w:rFonts w:ascii="Sylfaen" w:hAnsi="Sylfaen"/>
          <w:sz w:val="22"/>
          <w:szCs w:val="22"/>
          <w:lang w:val="ka-GE"/>
        </w:rPr>
        <w:t>n</w:t>
      </w:r>
      <w:r w:rsidRPr="00D217E2">
        <w:rPr>
          <w:rFonts w:ascii="Sylfaen" w:hAnsi="Sylfaen"/>
          <w:spacing w:val="2"/>
          <w:sz w:val="22"/>
          <w:szCs w:val="22"/>
          <w:lang w:val="ka-GE"/>
        </w:rPr>
        <w:t>n</w:t>
      </w:r>
      <w:r w:rsidRPr="00D217E2">
        <w:rPr>
          <w:rFonts w:ascii="Sylfaen" w:hAnsi="Sylfaen"/>
          <w:sz w:val="22"/>
          <w:szCs w:val="22"/>
          <w:lang w:val="ka-GE"/>
        </w:rPr>
        <w:t>a Con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>v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e</w:t>
      </w:r>
      <w:r w:rsidRPr="00D217E2">
        <w:rPr>
          <w:rFonts w:ascii="Sylfaen" w:hAnsi="Sylfaen"/>
          <w:sz w:val="22"/>
          <w:szCs w:val="22"/>
          <w:lang w:val="ka-GE"/>
        </w:rPr>
        <w:t>ntion for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z w:val="22"/>
          <w:szCs w:val="22"/>
          <w:lang w:val="ka-GE"/>
        </w:rPr>
        <w:t xml:space="preserve">the 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>P</w:t>
      </w:r>
      <w:r w:rsidRPr="00D217E2">
        <w:rPr>
          <w:rFonts w:ascii="Sylfaen" w:hAnsi="Sylfaen"/>
          <w:sz w:val="22"/>
          <w:szCs w:val="22"/>
          <w:lang w:val="ka-GE"/>
        </w:rPr>
        <w:t>rot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>e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c</w:t>
      </w:r>
      <w:r w:rsidRPr="00D217E2">
        <w:rPr>
          <w:rFonts w:ascii="Sylfaen" w:hAnsi="Sylfaen"/>
          <w:sz w:val="22"/>
          <w:szCs w:val="22"/>
          <w:lang w:val="ka-GE"/>
        </w:rPr>
        <w:t>tion of the O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>z</w:t>
      </w:r>
      <w:r w:rsidRPr="00D217E2">
        <w:rPr>
          <w:rFonts w:ascii="Sylfaen" w:hAnsi="Sylfaen"/>
          <w:sz w:val="22"/>
          <w:szCs w:val="22"/>
          <w:lang w:val="ka-GE"/>
        </w:rPr>
        <w:t>one</w:t>
      </w:r>
      <w:r w:rsidRPr="00D217E2">
        <w:rPr>
          <w:rFonts w:ascii="Sylfaen" w:hAnsi="Sylfaen"/>
          <w:spacing w:val="4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pacing w:val="-5"/>
          <w:sz w:val="22"/>
          <w:szCs w:val="22"/>
          <w:lang w:val="ka-GE"/>
        </w:rPr>
        <w:t>L</w:t>
      </w:r>
      <w:r w:rsidRPr="00D217E2">
        <w:rPr>
          <w:rFonts w:ascii="Sylfaen" w:hAnsi="Sylfaen"/>
          <w:spacing w:val="9"/>
          <w:sz w:val="22"/>
          <w:szCs w:val="22"/>
          <w:lang w:val="ka-GE"/>
        </w:rPr>
        <w:t>a</w:t>
      </w:r>
      <w:r w:rsidRPr="00D217E2">
        <w:rPr>
          <w:rFonts w:ascii="Sylfaen" w:hAnsi="Sylfaen"/>
          <w:spacing w:val="-10"/>
          <w:sz w:val="22"/>
          <w:szCs w:val="22"/>
          <w:lang w:val="ka-GE"/>
        </w:rPr>
        <w:t>y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>e</w:t>
      </w:r>
      <w:r w:rsidRPr="00D217E2">
        <w:rPr>
          <w:rFonts w:ascii="Sylfaen" w:hAnsi="Sylfaen"/>
          <w:spacing w:val="2"/>
          <w:sz w:val="22"/>
          <w:szCs w:val="22"/>
          <w:lang w:val="ka-GE"/>
        </w:rPr>
        <w:t>r</w:t>
      </w:r>
      <w:r w:rsidRPr="00D217E2">
        <w:rPr>
          <w:rFonts w:ascii="Sylfaen" w:hAnsi="Sylfaen"/>
          <w:sz w:val="22"/>
          <w:szCs w:val="22"/>
          <w:lang w:val="ka-GE"/>
        </w:rPr>
        <w:t>,</w:t>
      </w:r>
      <w:r w:rsidRPr="00D217E2">
        <w:rPr>
          <w:rFonts w:ascii="Sylfaen" w:hAnsi="Sylfaen"/>
          <w:spacing w:val="5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pacing w:val="-10"/>
          <w:sz w:val="22"/>
          <w:szCs w:val="22"/>
          <w:lang w:val="ka-GE"/>
        </w:rPr>
        <w:t>I</w:t>
      </w:r>
      <w:r w:rsidRPr="00D217E2">
        <w:rPr>
          <w:rFonts w:ascii="Sylfaen" w:hAnsi="Sylfaen"/>
          <w:sz w:val="22"/>
          <w:szCs w:val="22"/>
          <w:lang w:val="ka-GE"/>
        </w:rPr>
        <w:t>nt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>e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r</w:t>
      </w:r>
      <w:r w:rsidRPr="00D217E2">
        <w:rPr>
          <w:rFonts w:ascii="Sylfaen" w:hAnsi="Sylfaen"/>
          <w:spacing w:val="2"/>
          <w:sz w:val="22"/>
          <w:szCs w:val="22"/>
          <w:lang w:val="ka-GE"/>
        </w:rPr>
        <w:t>n</w:t>
      </w:r>
      <w:r w:rsidRPr="00D217E2">
        <w:rPr>
          <w:rFonts w:ascii="Sylfaen" w:hAnsi="Sylfaen"/>
          <w:spacing w:val="-3"/>
          <w:sz w:val="22"/>
          <w:szCs w:val="22"/>
          <w:lang w:val="ka-GE"/>
        </w:rPr>
        <w:t>a</w:t>
      </w:r>
      <w:r w:rsidRPr="00D217E2">
        <w:rPr>
          <w:rFonts w:ascii="Sylfaen" w:hAnsi="Sylfaen"/>
          <w:sz w:val="22"/>
          <w:szCs w:val="22"/>
          <w:lang w:val="ka-GE"/>
        </w:rPr>
        <w:t>tion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a</w:t>
      </w:r>
      <w:r w:rsidRPr="00D217E2">
        <w:rPr>
          <w:rFonts w:ascii="Sylfaen" w:hAnsi="Sylfaen"/>
          <w:sz w:val="22"/>
          <w:szCs w:val="22"/>
          <w:lang w:val="ka-GE"/>
        </w:rPr>
        <w:t>l</w:t>
      </w:r>
      <w:r w:rsidRPr="00D217E2">
        <w:rPr>
          <w:rFonts w:ascii="Sylfaen" w:hAnsi="Sylfaen"/>
          <w:spacing w:val="8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pacing w:val="-5"/>
          <w:sz w:val="22"/>
          <w:szCs w:val="22"/>
          <w:lang w:val="ka-GE"/>
        </w:rPr>
        <w:t>L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>e</w:t>
      </w:r>
      <w:r w:rsidRPr="00D217E2">
        <w:rPr>
          <w:rFonts w:ascii="Sylfaen" w:hAnsi="Sylfaen"/>
          <w:spacing w:val="-2"/>
          <w:sz w:val="22"/>
          <w:szCs w:val="22"/>
          <w:lang w:val="ka-GE"/>
        </w:rPr>
        <w:t>g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a</w:t>
      </w:r>
      <w:r w:rsidRPr="00D217E2">
        <w:rPr>
          <w:rFonts w:ascii="Sylfaen" w:hAnsi="Sylfaen"/>
          <w:sz w:val="22"/>
          <w:szCs w:val="22"/>
          <w:lang w:val="ka-GE"/>
        </w:rPr>
        <w:t>l M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a</w:t>
      </w:r>
      <w:r w:rsidRPr="00D217E2">
        <w:rPr>
          <w:rFonts w:ascii="Sylfaen" w:hAnsi="Sylfaen"/>
          <w:spacing w:val="5"/>
          <w:sz w:val="22"/>
          <w:szCs w:val="22"/>
          <w:lang w:val="ka-GE"/>
        </w:rPr>
        <w:t>t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er</w:t>
      </w:r>
      <w:r w:rsidRPr="00D217E2">
        <w:rPr>
          <w:rFonts w:ascii="Sylfaen" w:hAnsi="Sylfaen"/>
          <w:sz w:val="22"/>
          <w:szCs w:val="22"/>
          <w:lang w:val="ka-GE"/>
        </w:rPr>
        <w:t>i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a</w:t>
      </w:r>
      <w:r w:rsidRPr="00D217E2">
        <w:rPr>
          <w:rFonts w:ascii="Sylfaen" w:hAnsi="Sylfaen"/>
          <w:sz w:val="22"/>
          <w:szCs w:val="22"/>
          <w:lang w:val="ka-GE"/>
        </w:rPr>
        <w:t>ls,</w:t>
      </w:r>
      <w:r w:rsidRPr="00D217E2">
        <w:rPr>
          <w:rFonts w:ascii="Sylfaen" w:hAnsi="Sylfaen"/>
          <w:spacing w:val="3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z w:val="22"/>
          <w:szCs w:val="22"/>
          <w:lang w:val="ka-GE"/>
        </w:rPr>
        <w:t>1985,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z w:val="22"/>
          <w:szCs w:val="22"/>
          <w:lang w:val="ka-GE"/>
        </w:rPr>
        <w:t>1520.</w:t>
      </w:r>
    </w:p>
    <w:p w:rsidR="00773886" w:rsidRPr="00D217E2" w:rsidRDefault="00773886" w:rsidP="00406233">
      <w:pPr>
        <w:tabs>
          <w:tab w:val="left" w:pos="1440"/>
        </w:tabs>
        <w:spacing w:before="48"/>
        <w:ind w:right="71"/>
        <w:jc w:val="both"/>
        <w:rPr>
          <w:rFonts w:ascii="Sylfaen" w:eastAsia="AcadNusx" w:hAnsi="Sylfaen" w:cs="AcadNusx"/>
          <w:spacing w:val="1"/>
          <w:sz w:val="22"/>
          <w:szCs w:val="22"/>
          <w:lang w:val="ka-GE"/>
        </w:rPr>
      </w:pPr>
    </w:p>
    <w:p w:rsidR="007633C3" w:rsidRPr="00D217E2" w:rsidRDefault="007633C3" w:rsidP="00406233">
      <w:pPr>
        <w:tabs>
          <w:tab w:val="left" w:pos="1440"/>
        </w:tabs>
        <w:spacing w:before="48"/>
        <w:ind w:right="71"/>
        <w:jc w:val="both"/>
        <w:rPr>
          <w:rFonts w:ascii="Sylfaen" w:eastAsia="AcadNusx" w:hAnsi="Sylfaen" w:cs="AcadNusx"/>
          <w:spacing w:val="1"/>
          <w:sz w:val="24"/>
          <w:szCs w:val="24"/>
          <w:lang w:val="ka-GE"/>
        </w:rPr>
      </w:pPr>
    </w:p>
    <w:p w:rsidR="007633C3" w:rsidRPr="00D217E2" w:rsidRDefault="007633C3" w:rsidP="00406233">
      <w:pPr>
        <w:tabs>
          <w:tab w:val="left" w:pos="1440"/>
        </w:tabs>
        <w:spacing w:before="48"/>
        <w:ind w:right="71"/>
        <w:jc w:val="both"/>
        <w:rPr>
          <w:rFonts w:ascii="Sylfaen" w:eastAsia="AcadNusx" w:hAnsi="Sylfaen" w:cs="AcadNusx"/>
          <w:spacing w:val="1"/>
          <w:sz w:val="24"/>
          <w:szCs w:val="24"/>
          <w:lang w:val="ka-GE"/>
        </w:rPr>
      </w:pPr>
    </w:p>
    <w:p w:rsidR="007633C3" w:rsidRPr="00D217E2" w:rsidRDefault="007633C3" w:rsidP="00406233">
      <w:pPr>
        <w:tabs>
          <w:tab w:val="left" w:pos="1440"/>
        </w:tabs>
        <w:spacing w:before="48"/>
        <w:ind w:right="71"/>
        <w:jc w:val="both"/>
        <w:rPr>
          <w:rFonts w:ascii="Sylfaen" w:eastAsia="AcadNusx" w:hAnsi="Sylfaen" w:cs="AcadNusx"/>
          <w:spacing w:val="1"/>
          <w:sz w:val="24"/>
          <w:szCs w:val="24"/>
          <w:lang w:val="ka-GE"/>
        </w:rPr>
      </w:pPr>
    </w:p>
    <w:p w:rsidR="00B17D6F" w:rsidRPr="00D217E2" w:rsidRDefault="00B17D6F" w:rsidP="00406233">
      <w:pPr>
        <w:pStyle w:val="ListParagraph"/>
        <w:tabs>
          <w:tab w:val="left" w:pos="700"/>
        </w:tabs>
        <w:spacing w:before="46"/>
        <w:ind w:left="0"/>
        <w:jc w:val="both"/>
        <w:rPr>
          <w:rFonts w:ascii="Sylfaen" w:eastAsia="AcadNusx" w:hAnsi="Sylfaen" w:cs="AcadNusx"/>
          <w:sz w:val="24"/>
          <w:szCs w:val="24"/>
          <w:lang w:val="ka-GE"/>
        </w:rPr>
      </w:pPr>
    </w:p>
    <w:sectPr w:rsidR="00B17D6F" w:rsidRPr="00D217E2" w:rsidSect="00DB4764">
      <w:footerReference w:type="default" r:id="rId10"/>
      <w:pgSz w:w="11907" w:h="16839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896" w:rsidRDefault="00EB2896" w:rsidP="00773886">
      <w:r>
        <w:separator/>
      </w:r>
    </w:p>
  </w:endnote>
  <w:endnote w:type="continuationSeparator" w:id="0">
    <w:p w:rsidR="00EB2896" w:rsidRDefault="00EB2896" w:rsidP="0077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cadNusx">
    <w:altName w:val="Times New Roman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128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4533" w:rsidRDefault="000F45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0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4533" w:rsidRDefault="000F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896" w:rsidRDefault="00EB2896" w:rsidP="00773886">
      <w:r>
        <w:separator/>
      </w:r>
    </w:p>
  </w:footnote>
  <w:footnote w:type="continuationSeparator" w:id="0">
    <w:p w:rsidR="00EB2896" w:rsidRDefault="00EB2896" w:rsidP="0077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C66"/>
    <w:multiLevelType w:val="hybridMultilevel"/>
    <w:tmpl w:val="EB66626A"/>
    <w:lvl w:ilvl="0" w:tplc="DDCEE634">
      <w:start w:val="1"/>
      <w:numFmt w:val="decimal"/>
      <w:lvlText w:val="%1."/>
      <w:lvlJc w:val="left"/>
      <w:pPr>
        <w:ind w:left="153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55B0010"/>
    <w:multiLevelType w:val="hybridMultilevel"/>
    <w:tmpl w:val="6E924EE0"/>
    <w:lvl w:ilvl="0" w:tplc="7070F37C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70E0C37"/>
    <w:multiLevelType w:val="hybridMultilevel"/>
    <w:tmpl w:val="AD4E0CF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w w:val="4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A900BBE"/>
    <w:multiLevelType w:val="hybridMultilevel"/>
    <w:tmpl w:val="0282B4A8"/>
    <w:lvl w:ilvl="0" w:tplc="0994B936">
      <w:start w:val="1"/>
      <w:numFmt w:val="decimal"/>
      <w:lvlText w:val="%1."/>
      <w:lvlJc w:val="left"/>
      <w:pPr>
        <w:ind w:left="1034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754" w:hanging="360"/>
      </w:pPr>
    </w:lvl>
    <w:lvl w:ilvl="2" w:tplc="0409001B" w:tentative="1">
      <w:start w:val="1"/>
      <w:numFmt w:val="lowerRoman"/>
      <w:lvlText w:val="%3."/>
      <w:lvlJc w:val="right"/>
      <w:pPr>
        <w:ind w:left="2474" w:hanging="180"/>
      </w:pPr>
    </w:lvl>
    <w:lvl w:ilvl="3" w:tplc="0409000F" w:tentative="1">
      <w:start w:val="1"/>
      <w:numFmt w:val="decimal"/>
      <w:lvlText w:val="%4."/>
      <w:lvlJc w:val="left"/>
      <w:pPr>
        <w:ind w:left="3194" w:hanging="360"/>
      </w:pPr>
    </w:lvl>
    <w:lvl w:ilvl="4" w:tplc="04090019" w:tentative="1">
      <w:start w:val="1"/>
      <w:numFmt w:val="lowerLetter"/>
      <w:lvlText w:val="%5."/>
      <w:lvlJc w:val="left"/>
      <w:pPr>
        <w:ind w:left="3914" w:hanging="360"/>
      </w:pPr>
    </w:lvl>
    <w:lvl w:ilvl="5" w:tplc="0409001B" w:tentative="1">
      <w:start w:val="1"/>
      <w:numFmt w:val="lowerRoman"/>
      <w:lvlText w:val="%6."/>
      <w:lvlJc w:val="right"/>
      <w:pPr>
        <w:ind w:left="4634" w:hanging="180"/>
      </w:pPr>
    </w:lvl>
    <w:lvl w:ilvl="6" w:tplc="0409000F" w:tentative="1">
      <w:start w:val="1"/>
      <w:numFmt w:val="decimal"/>
      <w:lvlText w:val="%7."/>
      <w:lvlJc w:val="left"/>
      <w:pPr>
        <w:ind w:left="5354" w:hanging="360"/>
      </w:pPr>
    </w:lvl>
    <w:lvl w:ilvl="7" w:tplc="04090019" w:tentative="1">
      <w:start w:val="1"/>
      <w:numFmt w:val="lowerLetter"/>
      <w:lvlText w:val="%8."/>
      <w:lvlJc w:val="left"/>
      <w:pPr>
        <w:ind w:left="6074" w:hanging="360"/>
      </w:pPr>
    </w:lvl>
    <w:lvl w:ilvl="8" w:tplc="04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3A37178C"/>
    <w:multiLevelType w:val="hybridMultilevel"/>
    <w:tmpl w:val="01987AFC"/>
    <w:lvl w:ilvl="0" w:tplc="A46897DC">
      <w:start w:val="2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C891E7F"/>
    <w:multiLevelType w:val="hybridMultilevel"/>
    <w:tmpl w:val="B9AC7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3F6C18C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E28E7"/>
    <w:multiLevelType w:val="multilevel"/>
    <w:tmpl w:val="DCF8CD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4650A54"/>
    <w:multiLevelType w:val="hybridMultilevel"/>
    <w:tmpl w:val="CE02B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16FC2"/>
    <w:multiLevelType w:val="hybridMultilevel"/>
    <w:tmpl w:val="66426DD6"/>
    <w:lvl w:ilvl="0" w:tplc="8A1A7E94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878F2"/>
    <w:multiLevelType w:val="hybridMultilevel"/>
    <w:tmpl w:val="5FDCD6BE"/>
    <w:lvl w:ilvl="0" w:tplc="45645E8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63D37C4"/>
    <w:multiLevelType w:val="hybridMultilevel"/>
    <w:tmpl w:val="731EA52C"/>
    <w:lvl w:ilvl="0" w:tplc="32986BE8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322E73"/>
    <w:multiLevelType w:val="hybridMultilevel"/>
    <w:tmpl w:val="D1D4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065D9"/>
    <w:multiLevelType w:val="hybridMultilevel"/>
    <w:tmpl w:val="E692258E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3" w15:restartNumberingAfterBreak="0">
    <w:nsid w:val="6A46501F"/>
    <w:multiLevelType w:val="hybridMultilevel"/>
    <w:tmpl w:val="F7F40ED2"/>
    <w:lvl w:ilvl="0" w:tplc="6E1ED91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81C95"/>
    <w:multiLevelType w:val="hybridMultilevel"/>
    <w:tmpl w:val="FADEB5BC"/>
    <w:lvl w:ilvl="0" w:tplc="9A04F30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4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13"/>
  </w:num>
  <w:num w:numId="10">
    <w:abstractNumId w:val="3"/>
  </w:num>
  <w:num w:numId="11">
    <w:abstractNumId w:val="4"/>
  </w:num>
  <w:num w:numId="12">
    <w:abstractNumId w:val="9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E0"/>
    <w:rsid w:val="000716BA"/>
    <w:rsid w:val="00071A59"/>
    <w:rsid w:val="000A2ED4"/>
    <w:rsid w:val="000B43DD"/>
    <w:rsid w:val="000F4533"/>
    <w:rsid w:val="0011501F"/>
    <w:rsid w:val="001171DA"/>
    <w:rsid w:val="00120275"/>
    <w:rsid w:val="00130496"/>
    <w:rsid w:val="001C4D5B"/>
    <w:rsid w:val="001E07F1"/>
    <w:rsid w:val="00265703"/>
    <w:rsid w:val="002872D8"/>
    <w:rsid w:val="002A0BBC"/>
    <w:rsid w:val="002D4731"/>
    <w:rsid w:val="002E3F5A"/>
    <w:rsid w:val="002E67CA"/>
    <w:rsid w:val="003327A6"/>
    <w:rsid w:val="00346789"/>
    <w:rsid w:val="00366289"/>
    <w:rsid w:val="003C5DFB"/>
    <w:rsid w:val="003D3308"/>
    <w:rsid w:val="00406233"/>
    <w:rsid w:val="004100DB"/>
    <w:rsid w:val="00431758"/>
    <w:rsid w:val="00456956"/>
    <w:rsid w:val="004747CD"/>
    <w:rsid w:val="004828AB"/>
    <w:rsid w:val="004A25B5"/>
    <w:rsid w:val="004A2679"/>
    <w:rsid w:val="004A296E"/>
    <w:rsid w:val="00502944"/>
    <w:rsid w:val="00521E7D"/>
    <w:rsid w:val="005539CE"/>
    <w:rsid w:val="005E7CE7"/>
    <w:rsid w:val="005F1FBD"/>
    <w:rsid w:val="005F40BA"/>
    <w:rsid w:val="00600F39"/>
    <w:rsid w:val="00616C82"/>
    <w:rsid w:val="00626D08"/>
    <w:rsid w:val="006959F0"/>
    <w:rsid w:val="006A3CBC"/>
    <w:rsid w:val="006A5F6B"/>
    <w:rsid w:val="006C7A38"/>
    <w:rsid w:val="006E6DE2"/>
    <w:rsid w:val="00710C80"/>
    <w:rsid w:val="00715C09"/>
    <w:rsid w:val="00762093"/>
    <w:rsid w:val="007633C3"/>
    <w:rsid w:val="00773886"/>
    <w:rsid w:val="0078024B"/>
    <w:rsid w:val="0087273E"/>
    <w:rsid w:val="00873A93"/>
    <w:rsid w:val="00876AA5"/>
    <w:rsid w:val="00881E8E"/>
    <w:rsid w:val="008B040F"/>
    <w:rsid w:val="008C05B8"/>
    <w:rsid w:val="008D25CB"/>
    <w:rsid w:val="008D7E76"/>
    <w:rsid w:val="008F434F"/>
    <w:rsid w:val="00911849"/>
    <w:rsid w:val="00947195"/>
    <w:rsid w:val="00947F43"/>
    <w:rsid w:val="00952D63"/>
    <w:rsid w:val="009D14A7"/>
    <w:rsid w:val="00A13AF0"/>
    <w:rsid w:val="00A23593"/>
    <w:rsid w:val="00A5087B"/>
    <w:rsid w:val="00A638E0"/>
    <w:rsid w:val="00A83C2C"/>
    <w:rsid w:val="00AA5374"/>
    <w:rsid w:val="00B00558"/>
    <w:rsid w:val="00B009EC"/>
    <w:rsid w:val="00B03335"/>
    <w:rsid w:val="00B17D6F"/>
    <w:rsid w:val="00B23A60"/>
    <w:rsid w:val="00B473D7"/>
    <w:rsid w:val="00B6503A"/>
    <w:rsid w:val="00BF6086"/>
    <w:rsid w:val="00C04AE7"/>
    <w:rsid w:val="00C36D95"/>
    <w:rsid w:val="00C50B01"/>
    <w:rsid w:val="00C551B0"/>
    <w:rsid w:val="00C66AD2"/>
    <w:rsid w:val="00C776EA"/>
    <w:rsid w:val="00CC3E3A"/>
    <w:rsid w:val="00CE3555"/>
    <w:rsid w:val="00D0083E"/>
    <w:rsid w:val="00D217E2"/>
    <w:rsid w:val="00D341E4"/>
    <w:rsid w:val="00D37041"/>
    <w:rsid w:val="00D47AEA"/>
    <w:rsid w:val="00D93532"/>
    <w:rsid w:val="00D96D1A"/>
    <w:rsid w:val="00DB4764"/>
    <w:rsid w:val="00E11811"/>
    <w:rsid w:val="00E36C13"/>
    <w:rsid w:val="00E5108E"/>
    <w:rsid w:val="00EA6907"/>
    <w:rsid w:val="00EB2896"/>
    <w:rsid w:val="00EC78F8"/>
    <w:rsid w:val="00F22D98"/>
    <w:rsid w:val="00F25850"/>
    <w:rsid w:val="00F46EB3"/>
    <w:rsid w:val="00F5390F"/>
    <w:rsid w:val="00F65C5B"/>
    <w:rsid w:val="00F672A5"/>
    <w:rsid w:val="00F678E5"/>
    <w:rsid w:val="00F71BA5"/>
    <w:rsid w:val="00FA77BA"/>
    <w:rsid w:val="00FB51E8"/>
    <w:rsid w:val="00FC4C63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43C510"/>
  <w15:docId w15:val="{F56BC390-0B75-D044-BA20-5F2667C4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D1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4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41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1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3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886"/>
  </w:style>
  <w:style w:type="paragraph" w:styleId="Footer">
    <w:name w:val="footer"/>
    <w:basedOn w:val="Normal"/>
    <w:link w:val="FooterChar"/>
    <w:uiPriority w:val="99"/>
    <w:unhideWhenUsed/>
    <w:rsid w:val="00773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886"/>
  </w:style>
  <w:style w:type="paragraph" w:styleId="FootnoteText">
    <w:name w:val="footnote text"/>
    <w:basedOn w:val="Normal"/>
    <w:link w:val="FootnoteTextChar"/>
    <w:uiPriority w:val="99"/>
    <w:unhideWhenUsed/>
    <w:rsid w:val="001171DA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1DA"/>
    <w:rPr>
      <w:rFonts w:asciiTheme="minorHAnsi" w:eastAsiaTheme="minorHAnsi" w:hAnsiTheme="minorHAnsi" w:cstheme="minorBidi"/>
    </w:rPr>
  </w:style>
  <w:style w:type="character" w:customStyle="1" w:styleId="sb8d990e2">
    <w:name w:val="sb8d990e2"/>
    <w:basedOn w:val="DefaultParagraphFont"/>
    <w:rsid w:val="001171DA"/>
  </w:style>
  <w:style w:type="character" w:styleId="FootnoteReference">
    <w:name w:val="footnote reference"/>
    <w:basedOn w:val="DefaultParagraphFont"/>
    <w:uiPriority w:val="99"/>
    <w:semiHidden/>
    <w:unhideWhenUsed/>
    <w:rsid w:val="00600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lg.gov.ge/gwdict/index.php?a=term&amp;d=6&amp;t=74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787/9789264236882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719F-38B0-AB41-9D9D-4BA845C1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F1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2019-12-05T08:06:00Z</cp:lastPrinted>
  <dcterms:created xsi:type="dcterms:W3CDTF">2022-03-02T14:30:00Z</dcterms:created>
  <dcterms:modified xsi:type="dcterms:W3CDTF">2022-03-02T14:30:00Z</dcterms:modified>
</cp:coreProperties>
</file>